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DD79F" w14:textId="5257FDEF" w:rsidR="00DF5486" w:rsidRDefault="0005652B">
      <w:pPr>
        <w:pStyle w:val="Ttulo"/>
        <w:rPr>
          <w:lang w:val="en-GB"/>
        </w:rPr>
      </w:pPr>
      <w:r>
        <w:rPr>
          <w:lang w:val="en-GB"/>
        </w:rPr>
        <w:t>Checklist for determining the FORMAL adequacy of an DPIA AND THE SUBMISSION OF PRIOR CONSULTATION</w:t>
      </w:r>
    </w:p>
    <w:p w14:paraId="16D5E96C" w14:textId="77777777" w:rsidR="00DF5486" w:rsidRDefault="0005652B">
      <w:pPr>
        <w:pStyle w:val="Ttulo1"/>
        <w:rPr>
          <w:color w:val="auto"/>
          <w:lang w:val="en-GB"/>
        </w:rPr>
      </w:pPr>
      <w:r>
        <w:rPr>
          <w:color w:val="auto"/>
          <w:lang w:val="en-GB"/>
        </w:rPr>
        <w:t>Introduction</w:t>
      </w:r>
    </w:p>
    <w:p w14:paraId="2768950D" w14:textId="0F1EA20D" w:rsidR="00DF5486" w:rsidRDefault="0005652B">
      <w:pPr>
        <w:pStyle w:val="Normal2"/>
        <w:rPr>
          <w:lang w:val="en-GB"/>
        </w:rPr>
      </w:pPr>
      <w:r>
        <w:rPr>
          <w:lang w:val="en-GB"/>
        </w:rPr>
        <w:t>The Data Protection Impact Assessment (DPIA/DPIA) is a process which is part of the risk management of rights and freedoms to be carried out by the controller.</w:t>
      </w:r>
      <w:r w:rsidR="00CD0BE3">
        <w:rPr>
          <w:lang w:val="en-GB"/>
        </w:rPr>
        <w:t xml:space="preserve"> </w:t>
      </w:r>
      <w:r w:rsidR="00CD0BE3" w:rsidRPr="00CD0BE3">
        <w:rPr>
          <w:lang w:val="en-GB"/>
        </w:rPr>
        <w:t xml:space="preserve">To facilitate the task of addressing risk management for rights and freedoms with the level of detail required by an EIPD, the AEPD has published the guide </w:t>
      </w:r>
      <w:r w:rsidR="00CD0BE3">
        <w:rPr>
          <w:lang w:val="en-GB"/>
        </w:rPr>
        <w:t xml:space="preserve">on </w:t>
      </w:r>
      <w:hyperlink r:id="rId11" w:tgtFrame="https://www.aepd.es/es/documento/gestion-riesgo-y-evaluacion-impacto-en-tratamientos-datos-personales.pdf">
        <w:r w:rsidR="00CD0BE3">
          <w:rPr>
            <w:rStyle w:val="EnlacedeInternet"/>
            <w:color w:val="auto"/>
            <w:sz w:val="23"/>
            <w:szCs w:val="23"/>
            <w:lang w:val="en-GB"/>
          </w:rPr>
          <w:t>Risk Management and Impact Assessment in Personal Data Processing</w:t>
        </w:r>
      </w:hyperlink>
      <w:r w:rsidR="00CD0BE3">
        <w:rPr>
          <w:lang w:val="en-GB"/>
        </w:rPr>
        <w:t xml:space="preserve"> (hereinafter, "the Guide"). </w:t>
      </w:r>
      <w:r w:rsidR="00CD0BE3" w:rsidRPr="00CD0BE3">
        <w:rPr>
          <w:lang w:val="en-GB"/>
        </w:rPr>
        <w:t xml:space="preserve">This Checklist is intended to help those responsible to quickly identify and determine whether the DPIA process and documentation contains all the minimum formal elements expected of DPIA. </w:t>
      </w:r>
      <w:proofErr w:type="gramStart"/>
      <w:r w:rsidR="00CD0BE3" w:rsidRPr="00CD0BE3">
        <w:rPr>
          <w:lang w:val="en-GB"/>
        </w:rPr>
        <w:t>In particular, compliance</w:t>
      </w:r>
      <w:proofErr w:type="gramEnd"/>
      <w:r w:rsidR="00CD0BE3" w:rsidRPr="00CD0BE3">
        <w:rPr>
          <w:lang w:val="en-GB"/>
        </w:rPr>
        <w:t xml:space="preserve"> with this checklist will allow you to formally ensure that the request for prior consultation that could be made in relation to the EIPD complies with the requirements to be considered as such.</w:t>
      </w:r>
    </w:p>
    <w:p w14:paraId="722ACBC4" w14:textId="20BF3FB0" w:rsidR="00DF5486" w:rsidRDefault="0005652B">
      <w:pPr>
        <w:pStyle w:val="Normal2"/>
        <w:rPr>
          <w:lang w:val="en-GB"/>
        </w:rPr>
      </w:pPr>
      <w:r>
        <w:rPr>
          <w:lang w:val="en-GB"/>
        </w:rPr>
        <w:t xml:space="preserve">Article 35(7) of </w:t>
      </w:r>
      <w:r w:rsidR="0017413E">
        <w:fldChar w:fldCharType="begin"/>
      </w:r>
      <w:r w:rsidR="0017413E" w:rsidRPr="00C1334D">
        <w:rPr>
          <w:lang w:val="en-US"/>
        </w:rPr>
        <w:instrText xml:space="preserve"> HYPERLINK "https://www.aepd.es/es/documento/reglamento-ue-2016-679-consolidado.pdf" \h </w:instrText>
      </w:r>
      <w:r w:rsidR="0017413E">
        <w:fldChar w:fldCharType="separate"/>
      </w:r>
      <w:r>
        <w:rPr>
          <w:rStyle w:val="EnlacedeInternet"/>
          <w:color w:val="auto"/>
          <w:lang w:val="en-GB"/>
        </w:rPr>
        <w:t>Regulation (EU) 2016/679 of the European Parliament and of the Council of 27 April 2016 on the protection of natural persons with regard to the processing of personal data and on the free movement of such data</w:t>
      </w:r>
      <w:r w:rsidR="0017413E">
        <w:rPr>
          <w:rStyle w:val="EnlacedeInternet"/>
          <w:color w:val="auto"/>
          <w:lang w:val="en-GB"/>
        </w:rPr>
        <w:fldChar w:fldCharType="end"/>
      </w:r>
      <w:r>
        <w:rPr>
          <w:lang w:val="en-GB"/>
        </w:rPr>
        <w:t xml:space="preserve"> (GDPR) sets out the minimum content of a DPIA. In turn, the "</w:t>
      </w:r>
      <w:r w:rsidR="0017413E">
        <w:fldChar w:fldCharType="begin"/>
      </w:r>
      <w:r w:rsidR="0017413E" w:rsidRPr="00C1334D">
        <w:rPr>
          <w:lang w:val="en-US"/>
        </w:rPr>
        <w:instrText xml:space="preserve"> HYPERLINK "https://www.aepd.es/sites/default/files/2019-09/wp248rev01-es.pdf" \h </w:instrText>
      </w:r>
      <w:r w:rsidR="0017413E">
        <w:fldChar w:fldCharType="separate"/>
      </w:r>
      <w:r>
        <w:rPr>
          <w:rStyle w:val="EnlacedeInternet"/>
          <w:color w:val="auto"/>
          <w:lang w:val="en-GB"/>
        </w:rPr>
        <w:t>Guidelines on Data Protection Impact Assessment (DPA) and for determining whether processing is 'likely to involve a high risk' for the purposes of Regulation (EU) 2016/679</w:t>
      </w:r>
      <w:r w:rsidR="0017413E">
        <w:rPr>
          <w:rStyle w:val="EnlacedeInternet"/>
          <w:color w:val="auto"/>
          <w:lang w:val="en-GB"/>
        </w:rPr>
        <w:fldChar w:fldCharType="end"/>
      </w:r>
      <w:r>
        <w:rPr>
          <w:lang w:val="en-GB"/>
        </w:rPr>
        <w:t>" of the European Data Protection Board (hereinafter "Guidelines") interpret that a DPIA has to be carried out with minimum quality requirements.</w:t>
      </w:r>
    </w:p>
    <w:p w14:paraId="03A64A3F" w14:textId="77777777" w:rsidR="00A658F4" w:rsidRDefault="00A658F4" w:rsidP="00A658F4">
      <w:pPr>
        <w:pStyle w:val="Normal2"/>
        <w:rPr>
          <w:lang w:val="en-GB"/>
        </w:rPr>
      </w:pPr>
      <w:r>
        <w:rPr>
          <w:lang w:val="en-GB"/>
        </w:rPr>
        <w:t xml:space="preserve">According to the above-mentioned Guidelines, the implementation of a DPIA is not merely a formal compliance requirement, but </w:t>
      </w:r>
      <w:r>
        <w:rPr>
          <w:i/>
          <w:iCs/>
          <w:lang w:val="en-GB"/>
        </w:rPr>
        <w:t xml:space="preserve">"a process designed to describe the processing, assess its necessity and proportionality and help manage the risks to the rights and freedoms of natural persons arising from the processing of personal data by evaluating them and identifying measures to address them", a </w:t>
      </w:r>
      <w:r>
        <w:rPr>
          <w:lang w:val="en-GB"/>
        </w:rPr>
        <w:t>process that applies to the entire life cycle of the processing and not only to a specific point in time of the processing</w:t>
      </w:r>
      <w:r>
        <w:rPr>
          <w:rStyle w:val="Ancladenotaalpie"/>
          <w:lang w:val="en-GB"/>
        </w:rPr>
        <w:footnoteReference w:id="1"/>
      </w:r>
      <w:r>
        <w:rPr>
          <w:lang w:val="en-GB"/>
        </w:rPr>
        <w:t xml:space="preserve">. </w:t>
      </w:r>
    </w:p>
    <w:p w14:paraId="1D7AF8CE" w14:textId="77777777" w:rsidR="00A658F4" w:rsidRDefault="00A658F4" w:rsidP="00A658F4">
      <w:pPr>
        <w:pStyle w:val="Normal2"/>
        <w:rPr>
          <w:lang w:val="en-GB"/>
        </w:rPr>
      </w:pPr>
      <w:r>
        <w:rPr>
          <w:lang w:val="en-GB"/>
        </w:rPr>
        <w:t>The outcome of such a process should be adequately documented. This documentation should include at least the systematic description of the processing operations, the assessment of necessity and proportionality of the processing operations, an assessment of the risks to the rights and freedoms of data subjects and the measures to address those risks (Article 35(7) GDPR) which should include the measures required by Article 32 of the GDPR.</w:t>
      </w:r>
    </w:p>
    <w:p w14:paraId="34BFAA3D" w14:textId="53C7283C" w:rsidR="00D71C2D" w:rsidRDefault="00D71C2D" w:rsidP="00D71C2D">
      <w:pPr>
        <w:pStyle w:val="Normal2"/>
        <w:rPr>
          <w:lang w:val="en-GB"/>
        </w:rPr>
      </w:pPr>
      <w:proofErr w:type="gramStart"/>
      <w:r>
        <w:rPr>
          <w:lang w:val="en-GB"/>
        </w:rPr>
        <w:t>With regard to</w:t>
      </w:r>
      <w:proofErr w:type="gramEnd"/>
      <w:r>
        <w:rPr>
          <w:lang w:val="en-GB"/>
        </w:rPr>
        <w:t xml:space="preserve"> the minimum required content of a DPIA, in Annex 2 "Criteria for an acceptable DPIA" of the Guidelines, the Article 29 working group proposed a set of minimum elements that had to be included in the DPIA documentation. These elements were set out in a basic checklist that controllers could use to self-assess their own DPIA. The experience acquired by the AEPD since the effective application of the GDPR allows for a more precise definition of the elements described therein. These elements will be those that the Control Authority will require </w:t>
      </w:r>
      <w:proofErr w:type="gramStart"/>
      <w:r>
        <w:rPr>
          <w:lang w:val="en-GB"/>
        </w:rPr>
        <w:t>in order to</w:t>
      </w:r>
      <w:proofErr w:type="gramEnd"/>
      <w:r>
        <w:rPr>
          <w:lang w:val="en-GB"/>
        </w:rPr>
        <w:t xml:space="preserve"> determine that a DPIA complies with </w:t>
      </w:r>
      <w:r>
        <w:rPr>
          <w:lang w:val="en-GB"/>
        </w:rPr>
        <w:lastRenderedPageBreak/>
        <w:t xml:space="preserve">the minimum formal </w:t>
      </w:r>
      <w:r w:rsidR="005F4A90">
        <w:rPr>
          <w:lang w:val="en-GB"/>
        </w:rPr>
        <w:t>requirements,</w:t>
      </w:r>
      <w:r>
        <w:rPr>
          <w:lang w:val="en-GB"/>
        </w:rPr>
        <w:t xml:space="preserve"> and which are already included in the AEPD Instruction 1/2021.</w:t>
      </w:r>
    </w:p>
    <w:p w14:paraId="6ED8194F" w14:textId="5B403B38" w:rsidR="00DF5486" w:rsidRDefault="0005652B">
      <w:pPr>
        <w:pStyle w:val="Normal2"/>
        <w:rPr>
          <w:lang w:val="en-GB"/>
        </w:rPr>
      </w:pPr>
      <w:r>
        <w:rPr>
          <w:lang w:val="en-GB"/>
        </w:rPr>
        <w:t xml:space="preserve">On the other hand, with regard to the advisory function on processing operations contemplated in Article 36.2 of the GDPR, Chapter IV of </w:t>
      </w:r>
      <w:r w:rsidR="0017413E">
        <w:fldChar w:fldCharType="begin"/>
      </w:r>
      <w:r w:rsidR="0017413E" w:rsidRPr="00C1334D">
        <w:rPr>
          <w:lang w:val="en-US"/>
        </w:rPr>
        <w:instrText xml:space="preserve"> HYPERLINK "https://www.boe.es/boe/dias/2021/11/05/pdfs/BOE-A-2021-18134.pdf" \h </w:instrText>
      </w:r>
      <w:r w:rsidR="0017413E">
        <w:fldChar w:fldCharType="separate"/>
      </w:r>
      <w:r>
        <w:rPr>
          <w:rStyle w:val="EnlacedeInternet"/>
          <w:color w:val="auto"/>
          <w:lang w:val="en-GB"/>
        </w:rPr>
        <w:t>Instruction 1/2021, of 2 November, of the Spanish Data Protection Agency, establishing guidelines regarding the advisory function of the Agency, in accordance with Regulation (EU) 2016/679, of the European Parliament and of the Council of 27 April 2016, on the protection of natural persons with regard to the processing of personal data and the free movement of such data</w:t>
      </w:r>
      <w:r w:rsidR="0017413E">
        <w:rPr>
          <w:rStyle w:val="EnlacedeInternet"/>
          <w:color w:val="auto"/>
          <w:lang w:val="en-GB"/>
        </w:rPr>
        <w:fldChar w:fldCharType="end"/>
      </w:r>
      <w:r>
        <w:rPr>
          <w:lang w:val="en-GB"/>
        </w:rPr>
        <w:t xml:space="preserve">, and the </w:t>
      </w:r>
      <w:r w:rsidR="0017413E">
        <w:fldChar w:fldCharType="begin"/>
      </w:r>
      <w:r w:rsidR="0017413E" w:rsidRPr="00C1334D">
        <w:rPr>
          <w:lang w:val="en-US"/>
        </w:rPr>
        <w:instrText xml:space="preserve"> HYPERLINK "https://www.boe.es/buscar/act.php?id=BOE-A-2018-16673" \h </w:instrText>
      </w:r>
      <w:r w:rsidR="0017413E">
        <w:fldChar w:fldCharType="separate"/>
      </w:r>
      <w:r>
        <w:rPr>
          <w:rStyle w:val="EnlacedeInternet"/>
          <w:color w:val="auto"/>
          <w:lang w:val="en-GB"/>
        </w:rPr>
        <w:t>Organic Law 3/2018, of 5 December, on the Protection of Personal Data and Guarantee of Digital Rights</w:t>
      </w:r>
      <w:r w:rsidR="0017413E">
        <w:rPr>
          <w:rStyle w:val="EnlacedeInternet"/>
          <w:color w:val="auto"/>
          <w:lang w:val="en-GB"/>
        </w:rPr>
        <w:fldChar w:fldCharType="end"/>
      </w:r>
      <w:r>
        <w:rPr>
          <w:lang w:val="en-GB"/>
        </w:rPr>
        <w:t xml:space="preserve"> (LOPDGDD) require the controller, in relation to its obligations regarding the processing of personal data, minimum requirements of which further information can be found in the guide on </w:t>
      </w:r>
      <w:r w:rsidR="0017413E">
        <w:fldChar w:fldCharType="begin"/>
      </w:r>
      <w:r w:rsidR="0017413E" w:rsidRPr="00C1334D">
        <w:rPr>
          <w:lang w:val="en-US"/>
        </w:rPr>
        <w:instrText xml:space="preserve"> HYPERLINK "https://www.aepd.es/es/documento/gestion-riesgo-y-eval</w:instrText>
      </w:r>
      <w:r w:rsidR="0017413E" w:rsidRPr="00C1334D">
        <w:rPr>
          <w:lang w:val="en-US"/>
        </w:rPr>
        <w:instrText xml:space="preserve">uacion-impacto-en-tratamientos-datos-personales.pdf" \t "https://www.aepd.es/es/documento/gestion-riesgo-y-evaluacion-impacto-en-tratamientos-datos-personales.pdf" \h </w:instrText>
      </w:r>
      <w:r w:rsidR="0017413E">
        <w:fldChar w:fldCharType="separate"/>
      </w:r>
      <w:r>
        <w:rPr>
          <w:rStyle w:val="EnlacedeInternet"/>
          <w:color w:val="auto"/>
          <w:sz w:val="23"/>
          <w:szCs w:val="23"/>
          <w:lang w:val="en-GB"/>
        </w:rPr>
        <w:t>Risk Management and Impact Assessment in Personal Data Processing</w:t>
      </w:r>
      <w:r w:rsidR="0017413E">
        <w:rPr>
          <w:rStyle w:val="EnlacedeInternet"/>
          <w:color w:val="auto"/>
          <w:sz w:val="23"/>
          <w:szCs w:val="23"/>
          <w:lang w:val="en-GB"/>
        </w:rPr>
        <w:fldChar w:fldCharType="end"/>
      </w:r>
      <w:r>
        <w:rPr>
          <w:lang w:val="en-GB"/>
        </w:rPr>
        <w:t>.</w:t>
      </w:r>
    </w:p>
    <w:p w14:paraId="2E3C1E6A" w14:textId="77777777" w:rsidR="005F4A90" w:rsidRDefault="005F4A90" w:rsidP="005F4A90">
      <w:pPr>
        <w:pStyle w:val="Normal2"/>
        <w:rPr>
          <w:lang w:val="en-GB"/>
        </w:rPr>
      </w:pPr>
      <w:r>
        <w:rPr>
          <w:lang w:val="en-GB"/>
        </w:rPr>
        <w:t xml:space="preserve">In the case of prior consultation, Instruction 1/2021 establishes that the data controller must contemplate what is indicated by the AEPD in its guidelines and recommendations; consequently, the data controller must include this completed checklist to the supervisory authority </w:t>
      </w:r>
      <w:proofErr w:type="gramStart"/>
      <w:r>
        <w:rPr>
          <w:lang w:val="en-GB"/>
        </w:rPr>
        <w:t>in order to</w:t>
      </w:r>
      <w:proofErr w:type="gramEnd"/>
      <w:r>
        <w:rPr>
          <w:lang w:val="en-GB"/>
        </w:rPr>
        <w:t xml:space="preserve"> include the minimum content required and provide its consultation with greater precision and accuracy.</w:t>
      </w:r>
    </w:p>
    <w:p w14:paraId="734FD652" w14:textId="77777777" w:rsidR="00DF5486" w:rsidRDefault="0005652B">
      <w:pPr>
        <w:pStyle w:val="Normal2"/>
        <w:rPr>
          <w:lang w:val="en-GB"/>
        </w:rPr>
      </w:pPr>
      <w:r>
        <w:rPr>
          <w:lang w:val="en-GB"/>
        </w:rPr>
        <w:t>The GDPR establishes and typifies infringements in the case of absence or inadequacy of the development of the DPA when it is necessary to carry it out. Specifically, the GDPR establishes in Article 83.4 that infringements of Articles 35 "Data Protection Impact Assessment" and 36 "Prior Consultation" shall be punishable by administrative fines of up to EUR 10,000,000 or, in the case of a company, an amount equivalent to up to 2% of the total annual aggregate turnover of the preceding financial year, whichever is greater.</w:t>
      </w:r>
    </w:p>
    <w:p w14:paraId="58DDF3E9" w14:textId="77777777" w:rsidR="00DF5486" w:rsidRDefault="0005652B">
      <w:pPr>
        <w:pStyle w:val="Normal2"/>
        <w:rPr>
          <w:lang w:val="en-GB"/>
        </w:rPr>
      </w:pPr>
      <w:r>
        <w:rPr>
          <w:lang w:val="en-GB"/>
        </w:rPr>
        <w:t>The LOPDGDD, for the purposes of limitations, establishes as serious infringements:</w:t>
      </w:r>
    </w:p>
    <w:p w14:paraId="55E30FAE" w14:textId="77777777" w:rsidR="00DF5486" w:rsidRDefault="0005652B">
      <w:pPr>
        <w:pStyle w:val="Topo1"/>
        <w:numPr>
          <w:ilvl w:val="0"/>
          <w:numId w:val="2"/>
        </w:numPr>
        <w:ind w:left="584" w:firstLine="284"/>
        <w:rPr>
          <w:lang w:val="en-GB"/>
        </w:rPr>
      </w:pPr>
      <w:r>
        <w:rPr>
          <w:lang w:val="en-GB"/>
        </w:rPr>
        <w:t>Failure to carry out a DPIA where one is required:</w:t>
      </w:r>
    </w:p>
    <w:p w14:paraId="02DD5E7B" w14:textId="77777777" w:rsidR="00DF5486" w:rsidRDefault="0005652B">
      <w:pPr>
        <w:pStyle w:val="Topo2"/>
        <w:numPr>
          <w:ilvl w:val="1"/>
          <w:numId w:val="2"/>
        </w:numPr>
        <w:ind w:left="1276"/>
        <w:rPr>
          <w:lang w:val="en-GB"/>
        </w:rPr>
      </w:pPr>
      <w:r>
        <w:rPr>
          <w:lang w:val="en-GB"/>
        </w:rPr>
        <w:t>73.t The processing of personal data without having carried out an assessment of the impact of the processing operations on the protection of personal data in the cases in which this is required.</w:t>
      </w:r>
    </w:p>
    <w:p w14:paraId="017E471D" w14:textId="77777777" w:rsidR="00DF5486" w:rsidRDefault="0005652B">
      <w:pPr>
        <w:pStyle w:val="Topo1"/>
        <w:numPr>
          <w:ilvl w:val="0"/>
          <w:numId w:val="2"/>
        </w:numPr>
        <w:ind w:left="584" w:firstLine="284"/>
        <w:rPr>
          <w:lang w:val="en-GB"/>
        </w:rPr>
      </w:pPr>
      <w:r>
        <w:rPr>
          <w:lang w:val="en-GB"/>
        </w:rPr>
        <w:t>A specific infringement for the case of incorrect performance of the DPIA, which is the non-participation of the DPO when appointed:</w:t>
      </w:r>
    </w:p>
    <w:p w14:paraId="647AE061" w14:textId="77777777" w:rsidR="00DF5486" w:rsidRDefault="0005652B">
      <w:pPr>
        <w:pStyle w:val="Topo2"/>
        <w:numPr>
          <w:ilvl w:val="1"/>
          <w:numId w:val="2"/>
        </w:numPr>
        <w:ind w:left="1276"/>
        <w:rPr>
          <w:lang w:val="en-GB"/>
        </w:rPr>
      </w:pPr>
      <w:r>
        <w:rPr>
          <w:lang w:val="en-GB"/>
        </w:rPr>
        <w:t>73.w Fail to enable the effective participation of the data protection officer in all matters relating to the protection of personal data, to support him/her or to interfere in the performance of his/her duties.</w:t>
      </w:r>
    </w:p>
    <w:p w14:paraId="58FEC698" w14:textId="77777777" w:rsidR="00DF5486" w:rsidRDefault="0005652B">
      <w:pPr>
        <w:pStyle w:val="Topo1"/>
        <w:numPr>
          <w:ilvl w:val="0"/>
          <w:numId w:val="2"/>
        </w:numPr>
        <w:ind w:left="584" w:firstLine="284"/>
        <w:rPr>
          <w:lang w:val="en-GB"/>
        </w:rPr>
      </w:pPr>
      <w:r>
        <w:rPr>
          <w:lang w:val="en-GB"/>
        </w:rPr>
        <w:t>Failure to consult with the control authority on the DPIA when required (which is not always the case):</w:t>
      </w:r>
    </w:p>
    <w:p w14:paraId="41158864" w14:textId="77777777" w:rsidR="00DF5486" w:rsidRDefault="0005652B">
      <w:pPr>
        <w:pStyle w:val="Topo2"/>
        <w:numPr>
          <w:ilvl w:val="1"/>
          <w:numId w:val="2"/>
        </w:numPr>
        <w:ind w:left="1276"/>
        <w:rPr>
          <w:lang w:val="en-GB"/>
        </w:rPr>
      </w:pPr>
      <w:r>
        <w:rPr>
          <w:lang w:val="en-GB"/>
        </w:rPr>
        <w:t>73.u Processing personal data without prior consultation with the data protection authority in cases where such consultation is required under Article 36 of Regulation (EU) 2016/679 or where the law provides for an obligation to carry out such consultation.</w:t>
      </w:r>
    </w:p>
    <w:p w14:paraId="721E2FA1" w14:textId="77777777" w:rsidR="00DF5486" w:rsidRDefault="0005652B">
      <w:pPr>
        <w:pStyle w:val="Normal2"/>
        <w:rPr>
          <w:lang w:val="en-GB"/>
        </w:rPr>
      </w:pPr>
      <w:r>
        <w:rPr>
          <w:lang w:val="en-GB"/>
        </w:rPr>
        <w:t>The LOPDGDD establishes as minor infringements:</w:t>
      </w:r>
    </w:p>
    <w:p w14:paraId="0B162263" w14:textId="77777777" w:rsidR="00DF5486" w:rsidRDefault="0005652B">
      <w:pPr>
        <w:pStyle w:val="Topo1"/>
        <w:numPr>
          <w:ilvl w:val="0"/>
          <w:numId w:val="2"/>
        </w:numPr>
        <w:ind w:left="584" w:firstLine="284"/>
        <w:rPr>
          <w:lang w:val="en-GB"/>
        </w:rPr>
      </w:pPr>
      <w:r>
        <w:rPr>
          <w:lang w:val="en-GB"/>
        </w:rPr>
        <w:t>Providing inaccurate information to the supervisory authority in the framework of a prior consultation. It should be recalled that, in the case of prior consultation, all information on the DPIA must be provided (Art. 36.3.e):</w:t>
      </w:r>
    </w:p>
    <w:p w14:paraId="6B31DCD8" w14:textId="77777777" w:rsidR="00DF5486" w:rsidRDefault="0005652B">
      <w:pPr>
        <w:pStyle w:val="Topo2"/>
        <w:numPr>
          <w:ilvl w:val="1"/>
          <w:numId w:val="2"/>
        </w:numPr>
        <w:ind w:left="1276"/>
        <w:rPr>
          <w:lang w:val="en-GB"/>
        </w:rPr>
      </w:pPr>
      <w:r>
        <w:rPr>
          <w:lang w:val="en-GB"/>
        </w:rPr>
        <w:t>74.o Providing inaccurate information to the Data Protection Authority, in cases where the controller is required to submit a prior consultation to the Data Protection Authority in accordance with Article 36 of Regulation (EU) 2016/679.</w:t>
      </w:r>
    </w:p>
    <w:p w14:paraId="324D2F85" w14:textId="77777777" w:rsidR="00A658F4" w:rsidRDefault="00A658F4">
      <w:pPr>
        <w:pStyle w:val="Normal2"/>
        <w:rPr>
          <w:lang w:val="en-GB"/>
        </w:rPr>
      </w:pPr>
    </w:p>
    <w:p w14:paraId="5C9CBA5C" w14:textId="77777777" w:rsidR="00A658F4" w:rsidRDefault="00A658F4">
      <w:pPr>
        <w:pStyle w:val="Normal2"/>
        <w:rPr>
          <w:lang w:val="en-GB"/>
        </w:rPr>
      </w:pPr>
    </w:p>
    <w:p w14:paraId="17188B26" w14:textId="77777777" w:rsidR="00DF5486" w:rsidRDefault="0005652B">
      <w:pPr>
        <w:pStyle w:val="Normal2"/>
        <w:rPr>
          <w:lang w:val="en-GB"/>
        </w:rPr>
      </w:pPr>
      <w:r>
        <w:rPr>
          <w:lang w:val="en-GB"/>
        </w:rPr>
        <w:t xml:space="preserve">Before going on to review the checklist, it is necessary to take into account some previous considerations, which were already established in the </w:t>
      </w:r>
      <w:r w:rsidR="0017413E">
        <w:fldChar w:fldCharType="begin"/>
      </w:r>
      <w:r w:rsidR="0017413E" w:rsidRPr="00C1334D">
        <w:rPr>
          <w:lang w:val="en-US"/>
        </w:rPr>
        <w:instrText xml:space="preserve"> HYPERLINK "https://www.aepd.es/es/documento/risk-management-and-impact-assessment-in-processing-personal-data.pdf" \h </w:instrText>
      </w:r>
      <w:r w:rsidR="0017413E">
        <w:fldChar w:fldCharType="separate"/>
      </w:r>
      <w:r>
        <w:rPr>
          <w:rStyle w:val="EnlacedeInternet"/>
          <w:lang w:val="en-GB"/>
        </w:rPr>
        <w:t>Guide</w:t>
      </w:r>
      <w:r w:rsidR="0017413E">
        <w:rPr>
          <w:rStyle w:val="EnlacedeInternet"/>
          <w:lang w:val="en-GB"/>
        </w:rPr>
        <w:fldChar w:fldCharType="end"/>
      </w:r>
      <w:r>
        <w:rPr>
          <w:lang w:val="en-GB"/>
        </w:rPr>
        <w:t>:</w:t>
      </w:r>
    </w:p>
    <w:p w14:paraId="239EFFA2" w14:textId="77777777" w:rsidR="00DF5486" w:rsidRDefault="0005652B">
      <w:pPr>
        <w:pStyle w:val="Topo1"/>
        <w:numPr>
          <w:ilvl w:val="0"/>
          <w:numId w:val="2"/>
        </w:numPr>
        <w:rPr>
          <w:lang w:val="en-GB"/>
        </w:rPr>
      </w:pPr>
      <w:r>
        <w:rPr>
          <w:lang w:val="en-GB"/>
        </w:rPr>
        <w:t xml:space="preserve">As a precondition for risk management, the processing must be compliant with the GDPR. The compliance assessment should address each of the principles required by the GDPR and not only the requirement to carry out the DPIA. </w:t>
      </w:r>
    </w:p>
    <w:p w14:paraId="25C1A0A0" w14:textId="77777777" w:rsidR="00DF5486" w:rsidRDefault="0005652B">
      <w:pPr>
        <w:pStyle w:val="Topo1"/>
        <w:numPr>
          <w:ilvl w:val="0"/>
          <w:numId w:val="2"/>
        </w:numPr>
        <w:rPr>
          <w:lang w:val="en-GB"/>
        </w:rPr>
      </w:pPr>
      <w:r>
        <w:rPr>
          <w:lang w:val="en-GB"/>
        </w:rPr>
        <w:t xml:space="preserve">An impact assessment, as part of risk management for rights and freedoms, is not a compliance risk analysis. Nor is it reduced to a compliance checklist, such as the </w:t>
      </w:r>
      <w:r>
        <w:rPr>
          <w:rStyle w:val="EnlacedeInternet"/>
          <w:lang w:val="en-GB"/>
        </w:rPr>
        <w:t>AEPD Compliance Checklist</w:t>
      </w:r>
      <w:r>
        <w:rPr>
          <w:lang w:val="en-GB"/>
        </w:rPr>
        <w:t xml:space="preserve">. </w:t>
      </w:r>
    </w:p>
    <w:p w14:paraId="103BEB80" w14:textId="77777777" w:rsidR="00DF5486" w:rsidRDefault="0005652B">
      <w:pPr>
        <w:pStyle w:val="Topo1"/>
        <w:numPr>
          <w:ilvl w:val="0"/>
          <w:numId w:val="2"/>
        </w:numPr>
        <w:rPr>
          <w:lang w:val="en-GB"/>
        </w:rPr>
      </w:pPr>
      <w:r>
        <w:rPr>
          <w:lang w:val="en-GB"/>
        </w:rPr>
        <w:t>In no case can any defects that may be identified in relation to the mandatory principles be mitigated or eliminated by risk control measures. Risk management cannot be used as an alternative to compliance with the provisions of data protection regulations.</w:t>
      </w:r>
    </w:p>
    <w:p w14:paraId="0338B72B" w14:textId="77777777" w:rsidR="00DF5486" w:rsidRDefault="0005652B">
      <w:pPr>
        <w:pStyle w:val="Normal2"/>
        <w:rPr>
          <w:lang w:val="en-GB"/>
        </w:rPr>
      </w:pPr>
      <w:r>
        <w:rPr>
          <w:lang w:val="en-GB"/>
        </w:rPr>
        <w:t xml:space="preserve">This checklist is intended to serve as a checklist on the risk management process, the DPIA and the integrity of the DPIA documentation. This document is not intended to reduce the proactive accountability required by the GDPR to a checklist. In this regard, it is important to emphasise that completing this checklist does not amount to conducting a DPIA, nor does it constitute the DPIA report. In other words, the checklist is not a risk management </w:t>
      </w:r>
      <w:proofErr w:type="gramStart"/>
      <w:r>
        <w:rPr>
          <w:lang w:val="en-GB"/>
        </w:rPr>
        <w:t>tool</w:t>
      </w:r>
      <w:proofErr w:type="gramEnd"/>
      <w:r>
        <w:rPr>
          <w:lang w:val="en-GB"/>
        </w:rPr>
        <w:t xml:space="preserve"> and its preparation does not replace the documentation of a DPIA. </w:t>
      </w:r>
    </w:p>
    <w:p w14:paraId="31D79083" w14:textId="77777777" w:rsidR="00DF5486" w:rsidRDefault="0005652B">
      <w:pPr>
        <w:pStyle w:val="Normal2"/>
        <w:rPr>
          <w:lang w:val="en-GB"/>
        </w:rPr>
      </w:pPr>
      <w:r>
        <w:rPr>
          <w:lang w:val="en-GB"/>
        </w:rPr>
        <w:t xml:space="preserve">The usefulness of this checklist is that it is a tool to check, and if </w:t>
      </w:r>
      <w:proofErr w:type="gramStart"/>
      <w:r>
        <w:rPr>
          <w:lang w:val="en-GB"/>
        </w:rPr>
        <w:t>necessary</w:t>
      </w:r>
      <w:proofErr w:type="gramEnd"/>
      <w:r>
        <w:rPr>
          <w:lang w:val="en-GB"/>
        </w:rPr>
        <w:t xml:space="preserve"> declare, that the minimum formal actions required to carry out a DPIA have been carried out. The guide on </w:t>
      </w:r>
      <w:r w:rsidR="0017413E">
        <w:fldChar w:fldCharType="begin"/>
      </w:r>
      <w:r w:rsidR="0017413E" w:rsidRPr="00C1334D">
        <w:rPr>
          <w:lang w:val="en-US"/>
        </w:rPr>
        <w:instrText xml:space="preserve"> HYPERLINK "https://www.aepd.es/es/documento/gestion-riesgo-y-evaluacion-impacto-en-tratamientos-datos-personales.pdf" \t "https://www.aepd.es/es/documento/gestion-riesgo-y-evaluac</w:instrText>
      </w:r>
      <w:r w:rsidR="0017413E" w:rsidRPr="00C1334D">
        <w:rPr>
          <w:lang w:val="en-US"/>
        </w:rPr>
        <w:instrText xml:space="preserve">ion-impacto-en-tratamientos-datos-personales.pdf" \h </w:instrText>
      </w:r>
      <w:r w:rsidR="0017413E">
        <w:fldChar w:fldCharType="separate"/>
      </w:r>
      <w:r>
        <w:rPr>
          <w:rStyle w:val="EnlacedeInternet"/>
          <w:color w:val="auto"/>
          <w:sz w:val="23"/>
          <w:szCs w:val="23"/>
          <w:lang w:val="en-GB"/>
        </w:rPr>
        <w:t>Risk Management and Impact Assessment in Personal Data Processing</w:t>
      </w:r>
      <w:r w:rsidR="0017413E">
        <w:rPr>
          <w:rStyle w:val="EnlacedeInternet"/>
          <w:color w:val="auto"/>
          <w:sz w:val="23"/>
          <w:szCs w:val="23"/>
          <w:lang w:val="en-GB"/>
        </w:rPr>
        <w:fldChar w:fldCharType="end"/>
      </w:r>
      <w:r>
        <w:rPr>
          <w:lang w:val="en-GB"/>
        </w:rPr>
        <w:t xml:space="preserve"> sets out the details of the tasks and minimum contents that must be taken into account in the execution and documentation of the DPIA. Failure to respond to these contents may mean that the DPIA is not correct or that the information provided is inaccurate.</w:t>
      </w:r>
    </w:p>
    <w:p w14:paraId="35CFCBA8" w14:textId="60FD84CD" w:rsidR="00DF5486" w:rsidRDefault="0005652B">
      <w:pPr>
        <w:pStyle w:val="Normal2"/>
        <w:rPr>
          <w:lang w:val="en-GB"/>
        </w:rPr>
      </w:pPr>
      <w:r>
        <w:rPr>
          <w:lang w:val="en-GB"/>
        </w:rPr>
        <w:t>To complete the checklist</w:t>
      </w:r>
      <w:r w:rsidR="005F4A90">
        <w:rPr>
          <w:lang w:val="en-GB"/>
        </w:rPr>
        <w:t>,</w:t>
      </w:r>
      <w:r>
        <w:rPr>
          <w:lang w:val="en-GB"/>
        </w:rPr>
        <w:t xml:space="preserve"> it is necessary to go through each of the rows and update the value of the "CHECK" column, which is a selection field (marked by default as "NO"), when the described action has been performed and/or adequately examined and/or documented</w:t>
      </w:r>
      <w:r w:rsidR="005F4A90">
        <w:rPr>
          <w:lang w:val="en-GB"/>
        </w:rPr>
        <w:t xml:space="preserve"> in the framework of the carried out DPIA</w:t>
      </w:r>
      <w:r>
        <w:rPr>
          <w:lang w:val="en-GB"/>
        </w:rPr>
        <w:t xml:space="preserve">. The comments column should then be updated with any appropriate observations/conclusions that refer to, and/or redirect to, the documentation of the DPIA. </w:t>
      </w:r>
      <w:r w:rsidR="005F4A90">
        <w:rPr>
          <w:lang w:val="en-GB"/>
        </w:rPr>
        <w:t xml:space="preserve">It means, the comments column has not the aim to include the information that should be detailed in the DPIA documentation. </w:t>
      </w:r>
      <w:r>
        <w:rPr>
          <w:lang w:val="en-GB"/>
        </w:rPr>
        <w:t>It would not be appropriate, for example, in the case of the check in 9.9, to include in the “Comments” column the list of privacy by design actions and measures and the criteria for their selection. Such information should be part of the DPIA documentation.</w:t>
      </w:r>
    </w:p>
    <w:p w14:paraId="7FC4C33F" w14:textId="77777777" w:rsidR="00DF5486" w:rsidRDefault="0005652B">
      <w:pPr>
        <w:pStyle w:val="Normal2"/>
        <w:rPr>
          <w:lang w:val="en-GB"/>
        </w:rPr>
      </w:pPr>
      <w:r>
        <w:rPr>
          <w:lang w:val="en-GB"/>
        </w:rPr>
        <w:t xml:space="preserve">Below is the checklist of the formal content to be included in the DPIA documentation </w:t>
      </w:r>
      <w:proofErr w:type="gramStart"/>
      <w:r>
        <w:rPr>
          <w:lang w:val="en-GB"/>
        </w:rPr>
        <w:t>in order to</w:t>
      </w:r>
      <w:proofErr w:type="gramEnd"/>
      <w:r>
        <w:rPr>
          <w:lang w:val="en-GB"/>
        </w:rPr>
        <w:t xml:space="preserve"> determine its adequacy, in particular for submission in the framework of a prior consultation as set out in Article 36 GDPR. </w:t>
      </w:r>
    </w:p>
    <w:p w14:paraId="3A833236" w14:textId="77777777" w:rsidR="00DF5486" w:rsidRDefault="00DF5486">
      <w:pPr>
        <w:pStyle w:val="Normal2"/>
        <w:rPr>
          <w:lang w:val="en-GB"/>
        </w:rPr>
        <w:sectPr w:rsidR="00DF5486">
          <w:headerReference w:type="default" r:id="rId12"/>
          <w:footerReference w:type="default" r:id="rId13"/>
          <w:pgSz w:w="11906" w:h="16838"/>
          <w:pgMar w:top="1917" w:right="1558" w:bottom="777" w:left="1417" w:header="720" w:footer="720" w:gutter="0"/>
          <w:cols w:space="720"/>
          <w:formProt w:val="0"/>
          <w:docGrid w:linePitch="100"/>
        </w:sectPr>
      </w:pPr>
    </w:p>
    <w:p w14:paraId="562A11DD" w14:textId="77777777" w:rsidR="00DF5486" w:rsidRDefault="00DF5486">
      <w:pPr>
        <w:pStyle w:val="Normal2"/>
        <w:rPr>
          <w:lang w:val="en-GB"/>
        </w:rPr>
      </w:pPr>
    </w:p>
    <w:p w14:paraId="26FC39BB" w14:textId="77777777" w:rsidR="00DF5486" w:rsidRDefault="0005652B">
      <w:pPr>
        <w:pStyle w:val="Ttulo1"/>
        <w:ind w:left="-284" w:firstLine="284"/>
        <w:rPr>
          <w:color w:val="auto"/>
          <w:sz w:val="20"/>
          <w:szCs w:val="20"/>
          <w:lang w:val="en-GB"/>
        </w:rPr>
      </w:pPr>
      <w:r>
        <w:rPr>
          <w:color w:val="auto"/>
          <w:lang w:val="en-GB"/>
        </w:rPr>
        <w:t xml:space="preserve">Checklist </w:t>
      </w:r>
    </w:p>
    <w:p w14:paraId="353F8ABC" w14:textId="77777777" w:rsidR="00DF5486" w:rsidRDefault="00DF5486">
      <w:pPr>
        <w:pStyle w:val="Normal2"/>
        <w:rPr>
          <w:lang w:val="en-GB"/>
        </w:rPr>
      </w:pPr>
    </w:p>
    <w:p w14:paraId="61BA12EE" w14:textId="77777777" w:rsidR="00DF5486" w:rsidRDefault="0005652B">
      <w:pPr>
        <w:pStyle w:val="Ttulo2"/>
        <w:rPr>
          <w:lang w:val="en-GB"/>
        </w:rPr>
      </w:pPr>
      <w:r>
        <w:rPr>
          <w:lang w:val="en-GB"/>
        </w:rPr>
        <w:t>General requirements for prior consultation (Fifth.1-2 of Instruction 1/2021)</w:t>
      </w:r>
    </w:p>
    <w:p w14:paraId="3A751CFD" w14:textId="77777777" w:rsidR="00DF5486" w:rsidRDefault="0005652B">
      <w:pPr>
        <w:jc w:val="both"/>
        <w:rPr>
          <w:lang w:val="en-GB"/>
        </w:rPr>
      </w:pPr>
      <w:r>
        <w:rPr>
          <w:rFonts w:ascii="Arial" w:hAnsi="Arial" w:cs="Arial"/>
          <w:lang w:val="en-GB"/>
        </w:rPr>
        <w:t xml:space="preserve">If prior consultation is deemed necessary, the following requirements and certain additional information outlined below should be </w:t>
      </w:r>
      <w:proofErr w:type="gramStart"/>
      <w:r>
        <w:rPr>
          <w:rFonts w:ascii="Arial" w:hAnsi="Arial" w:cs="Arial"/>
          <w:lang w:val="en-GB"/>
        </w:rPr>
        <w:t>taken into account</w:t>
      </w:r>
      <w:proofErr w:type="gramEnd"/>
      <w:r>
        <w:rPr>
          <w:rFonts w:ascii="Arial" w:hAnsi="Arial" w:cs="Arial"/>
          <w:lang w:val="en-GB"/>
        </w:rPr>
        <w:t>:</w:t>
      </w:r>
    </w:p>
    <w:tbl>
      <w:tblPr>
        <w:tblStyle w:val="Tablaconcuadrcula"/>
        <w:tblW w:w="10206" w:type="dxa"/>
        <w:tblInd w:w="-572" w:type="dxa"/>
        <w:tblLayout w:type="fixed"/>
        <w:tblLook w:val="04A0" w:firstRow="1" w:lastRow="0" w:firstColumn="1" w:lastColumn="0" w:noHBand="0" w:noVBand="1"/>
      </w:tblPr>
      <w:tblGrid>
        <w:gridCol w:w="3686"/>
        <w:gridCol w:w="1814"/>
        <w:gridCol w:w="4706"/>
      </w:tblGrid>
      <w:tr w:rsidR="00DF5486" w:rsidRPr="00C1334D" w14:paraId="25DBF7F4" w14:textId="77777777">
        <w:tc>
          <w:tcPr>
            <w:tcW w:w="3686" w:type="dxa"/>
            <w:shd w:val="clear" w:color="auto" w:fill="FFDE93"/>
          </w:tcPr>
          <w:p w14:paraId="39E5D84C" w14:textId="77777777" w:rsidR="00DF5486" w:rsidRDefault="0005652B">
            <w:pPr>
              <w:pStyle w:val="Normal2"/>
              <w:ind w:firstLine="0"/>
              <w:jc w:val="center"/>
              <w:rPr>
                <w:b/>
                <w:bCs/>
                <w:lang w:val="en-GB"/>
              </w:rPr>
            </w:pPr>
            <w:r>
              <w:rPr>
                <w:b/>
                <w:bCs/>
                <w:lang w:val="en-GB"/>
              </w:rPr>
              <w:t>ELEMENTS OF VERIFICATION</w:t>
            </w:r>
          </w:p>
        </w:tc>
        <w:tc>
          <w:tcPr>
            <w:tcW w:w="1814" w:type="dxa"/>
            <w:shd w:val="clear" w:color="auto" w:fill="FFDE93"/>
          </w:tcPr>
          <w:p w14:paraId="41A7B2E7" w14:textId="77777777" w:rsidR="00DF5486" w:rsidRDefault="0005652B">
            <w:pPr>
              <w:pStyle w:val="Normal2"/>
              <w:ind w:firstLine="0"/>
              <w:jc w:val="center"/>
              <w:rPr>
                <w:b/>
                <w:bCs/>
                <w:lang w:val="en-GB"/>
              </w:rPr>
            </w:pPr>
            <w:r>
              <w:rPr>
                <w:b/>
                <w:bCs/>
                <w:lang w:val="en-GB"/>
              </w:rPr>
              <w:t>CHECK</w:t>
            </w:r>
          </w:p>
        </w:tc>
        <w:tc>
          <w:tcPr>
            <w:tcW w:w="4706" w:type="dxa"/>
            <w:shd w:val="clear" w:color="auto" w:fill="FFDE93"/>
          </w:tcPr>
          <w:p w14:paraId="598712D8" w14:textId="77777777" w:rsidR="00DF5486" w:rsidRDefault="0005652B">
            <w:pPr>
              <w:pStyle w:val="Normal2"/>
              <w:ind w:firstLine="0"/>
              <w:jc w:val="center"/>
              <w:rPr>
                <w:b/>
                <w:bCs/>
                <w:lang w:val="en-GB"/>
              </w:rPr>
            </w:pPr>
            <w:r>
              <w:rPr>
                <w:b/>
                <w:bCs/>
                <w:lang w:val="en-GB"/>
              </w:rPr>
              <w:t>COMMENTS</w:t>
            </w:r>
          </w:p>
          <w:p w14:paraId="2DEADAE3" w14:textId="77777777" w:rsidR="00DF5486" w:rsidRDefault="0005652B">
            <w:pPr>
              <w:pStyle w:val="Normal2"/>
              <w:ind w:firstLine="0"/>
              <w:jc w:val="center"/>
              <w:rPr>
                <w:lang w:val="en-GB"/>
              </w:rPr>
            </w:pPr>
            <w:r>
              <w:rPr>
                <w:lang w:val="en-GB"/>
              </w:rPr>
              <w:t>(</w:t>
            </w:r>
            <w:proofErr w:type="gramStart"/>
            <w:r>
              <w:rPr>
                <w:lang w:val="en-GB"/>
              </w:rPr>
              <w:t>replace</w:t>
            </w:r>
            <w:proofErr w:type="gramEnd"/>
            <w:r>
              <w:rPr>
                <w:lang w:val="en-GB"/>
              </w:rPr>
              <w:t xml:space="preserve"> these comments with the appropriate ones in each case)</w:t>
            </w:r>
          </w:p>
        </w:tc>
      </w:tr>
      <w:tr w:rsidR="00DF5486" w:rsidRPr="00C1334D" w14:paraId="02B3DCEC" w14:textId="77777777">
        <w:tc>
          <w:tcPr>
            <w:tcW w:w="3686" w:type="dxa"/>
          </w:tcPr>
          <w:p w14:paraId="02C41C0B" w14:textId="77777777" w:rsidR="00DF5486" w:rsidRDefault="0005652B">
            <w:pPr>
              <w:pStyle w:val="Ttulo3"/>
              <w:rPr>
                <w:lang w:val="en-GB"/>
              </w:rPr>
            </w:pPr>
            <w:r>
              <w:rPr>
                <w:lang w:val="en-GB"/>
              </w:rPr>
              <w:t xml:space="preserve">1.1 The </w:t>
            </w:r>
            <w:proofErr w:type="gramStart"/>
            <w:r>
              <w:rPr>
                <w:lang w:val="en-GB"/>
              </w:rPr>
              <w:t>high risk</w:t>
            </w:r>
            <w:proofErr w:type="gramEnd"/>
            <w:r>
              <w:rPr>
                <w:lang w:val="en-GB"/>
              </w:rPr>
              <w:t xml:space="preserve"> level of data processing cannot be mitigated by appropriate measures and the need for Prior Consultation has been assessed (Art. 36, Recital 84).</w:t>
            </w:r>
          </w:p>
        </w:tc>
        <w:tc>
          <w:tcPr>
            <w:tcW w:w="1814" w:type="dxa"/>
            <w:vAlign w:val="center"/>
          </w:tcPr>
          <w:p w14:paraId="387481A7" w14:textId="77777777" w:rsidR="00DF5486" w:rsidRDefault="0005652B">
            <w:pPr>
              <w:pStyle w:val="Normal2"/>
              <w:ind w:firstLine="0"/>
              <w:jc w:val="center"/>
              <w:rPr>
                <w:sz w:val="16"/>
                <w:szCs w:val="18"/>
                <w:lang w:val="en-GB"/>
              </w:rPr>
            </w:pPr>
            <w:r>
              <w:rPr>
                <w:sz w:val="16"/>
                <w:szCs w:val="18"/>
                <w:lang w:val="en-GB"/>
              </w:rPr>
              <w:t>NO</w:t>
            </w:r>
          </w:p>
          <w:p w14:paraId="689EAB3A" w14:textId="77777777" w:rsidR="00DF5486" w:rsidRDefault="0005652B">
            <w:pPr>
              <w:pStyle w:val="Normal2"/>
              <w:ind w:firstLine="0"/>
              <w:jc w:val="center"/>
              <w:rPr>
                <w:sz w:val="18"/>
                <w:szCs w:val="18"/>
                <w:lang w:val="en-GB"/>
              </w:rPr>
            </w:pPr>
            <w:r>
              <w:rPr>
                <w:sz w:val="16"/>
                <w:szCs w:val="18"/>
                <w:lang w:val="en-GB"/>
              </w:rPr>
              <w:t>YES, AND IT IS DEMONSTRATED</w:t>
            </w:r>
          </w:p>
        </w:tc>
        <w:tc>
          <w:tcPr>
            <w:tcW w:w="4706" w:type="dxa"/>
          </w:tcPr>
          <w:p w14:paraId="2A1BAC75" w14:textId="77777777" w:rsidR="00DF5486" w:rsidRDefault="0005652B">
            <w:pPr>
              <w:pStyle w:val="Normal2"/>
              <w:ind w:firstLine="0"/>
              <w:rPr>
                <w:sz w:val="20"/>
                <w:szCs w:val="20"/>
                <w:lang w:val="en-GB"/>
              </w:rPr>
            </w:pPr>
            <w:r>
              <w:rPr>
                <w:sz w:val="20"/>
                <w:szCs w:val="20"/>
                <w:lang w:val="en-GB"/>
              </w:rPr>
              <w:t>In the DPIA documentation, a brief description of the reasons why the residual risk is not acceptable or why there are no measures to mitigate and/or eliminate the residual risk was provided.</w:t>
            </w:r>
          </w:p>
        </w:tc>
      </w:tr>
      <w:tr w:rsidR="00DF5486" w:rsidRPr="00C1334D" w14:paraId="4BD371AF" w14:textId="77777777">
        <w:tc>
          <w:tcPr>
            <w:tcW w:w="3686" w:type="dxa"/>
          </w:tcPr>
          <w:p w14:paraId="492F0A19" w14:textId="77777777" w:rsidR="00DF5486" w:rsidRDefault="0005652B">
            <w:pPr>
              <w:pStyle w:val="Normal2"/>
              <w:ind w:firstLine="0"/>
              <w:rPr>
                <w:sz w:val="20"/>
                <w:szCs w:val="20"/>
                <w:lang w:val="en-GB"/>
              </w:rPr>
            </w:pPr>
            <w:r>
              <w:rPr>
                <w:sz w:val="20"/>
                <w:szCs w:val="20"/>
                <w:lang w:val="en-GB"/>
              </w:rPr>
              <w:t>1.2 Prior consultation and the DPIA are carried out prior to the start of processing.</w:t>
            </w:r>
          </w:p>
        </w:tc>
        <w:tc>
          <w:tcPr>
            <w:tcW w:w="1814" w:type="dxa"/>
            <w:vAlign w:val="center"/>
          </w:tcPr>
          <w:p w14:paraId="2CA33C0C" w14:textId="77777777" w:rsidR="00DF5486" w:rsidRDefault="0005652B">
            <w:pPr>
              <w:pStyle w:val="Normal2"/>
              <w:ind w:firstLine="0"/>
              <w:jc w:val="center"/>
              <w:rPr>
                <w:sz w:val="16"/>
                <w:szCs w:val="16"/>
                <w:lang w:val="en-GB"/>
              </w:rPr>
            </w:pPr>
            <w:r>
              <w:rPr>
                <w:sz w:val="16"/>
                <w:szCs w:val="16"/>
                <w:lang w:val="en-GB"/>
              </w:rPr>
              <w:t>NO</w:t>
            </w:r>
          </w:p>
          <w:p w14:paraId="0D437679" w14:textId="77777777" w:rsidR="00DF5486" w:rsidRDefault="0005652B">
            <w:pPr>
              <w:pStyle w:val="Normal2"/>
              <w:ind w:firstLine="0"/>
              <w:jc w:val="center"/>
              <w:rPr>
                <w:sz w:val="16"/>
                <w:szCs w:val="16"/>
                <w:lang w:val="en-GB"/>
              </w:rPr>
            </w:pPr>
            <w:r>
              <w:rPr>
                <w:sz w:val="16"/>
                <w:szCs w:val="16"/>
                <w:lang w:val="en-GB"/>
              </w:rPr>
              <w:t>YES, AND IT IS DEMONSTRATED</w:t>
            </w:r>
          </w:p>
        </w:tc>
        <w:tc>
          <w:tcPr>
            <w:tcW w:w="4706" w:type="dxa"/>
          </w:tcPr>
          <w:p w14:paraId="7024B8D3" w14:textId="77777777" w:rsidR="00DF5486" w:rsidRDefault="0005652B">
            <w:pPr>
              <w:pStyle w:val="Normal2"/>
              <w:ind w:firstLine="0"/>
              <w:rPr>
                <w:sz w:val="20"/>
                <w:szCs w:val="20"/>
                <w:lang w:val="en-GB"/>
              </w:rPr>
            </w:pPr>
            <w:r>
              <w:rPr>
                <w:sz w:val="20"/>
                <w:szCs w:val="20"/>
                <w:lang w:val="en-GB"/>
              </w:rPr>
              <w:t>If the answer is “no”, check the next item on the checklist.</w:t>
            </w:r>
          </w:p>
        </w:tc>
      </w:tr>
      <w:tr w:rsidR="00DF5486" w:rsidRPr="00C1334D" w14:paraId="0C074ECB" w14:textId="77777777">
        <w:tc>
          <w:tcPr>
            <w:tcW w:w="3686" w:type="dxa"/>
          </w:tcPr>
          <w:p w14:paraId="09BD2A4F" w14:textId="77777777" w:rsidR="00DF5486" w:rsidRDefault="0005652B">
            <w:pPr>
              <w:pStyle w:val="Normal2"/>
              <w:ind w:firstLine="0"/>
              <w:rPr>
                <w:sz w:val="20"/>
                <w:szCs w:val="20"/>
                <w:lang w:val="en-GB"/>
              </w:rPr>
            </w:pPr>
            <w:r>
              <w:rPr>
                <w:sz w:val="20"/>
                <w:szCs w:val="20"/>
                <w:lang w:val="en-GB"/>
              </w:rPr>
              <w:t>1.3 If the prior consultation and the DPIA are carried out after the processing has started, there is an objectively motivated justification.</w:t>
            </w:r>
          </w:p>
        </w:tc>
        <w:tc>
          <w:tcPr>
            <w:tcW w:w="1814" w:type="dxa"/>
            <w:vAlign w:val="center"/>
          </w:tcPr>
          <w:p w14:paraId="390CC31C" w14:textId="77777777" w:rsidR="00DF5486" w:rsidRDefault="0005652B">
            <w:pPr>
              <w:pStyle w:val="Normal2"/>
              <w:ind w:firstLine="0"/>
              <w:jc w:val="center"/>
              <w:rPr>
                <w:sz w:val="16"/>
                <w:szCs w:val="16"/>
                <w:lang w:val="en-GB"/>
              </w:rPr>
            </w:pPr>
            <w:r>
              <w:rPr>
                <w:sz w:val="16"/>
                <w:szCs w:val="16"/>
                <w:lang w:val="en-GB"/>
              </w:rPr>
              <w:t>NO, THE EIPD IS PRIOR TO PROCESSING</w:t>
            </w:r>
          </w:p>
          <w:p w14:paraId="39A5DBAB" w14:textId="77777777" w:rsidR="00DF5486" w:rsidRDefault="0005652B">
            <w:pPr>
              <w:pStyle w:val="Normal2"/>
              <w:ind w:firstLine="0"/>
              <w:jc w:val="center"/>
              <w:rPr>
                <w:sz w:val="16"/>
                <w:szCs w:val="16"/>
                <w:lang w:val="en-GB"/>
              </w:rPr>
            </w:pPr>
            <w:r>
              <w:rPr>
                <w:sz w:val="16"/>
                <w:szCs w:val="16"/>
                <w:lang w:val="en-GB"/>
              </w:rPr>
              <w:t>YES, THE EIPD IS AFTER THE START OF PROCESSING AND JUSTIFIED</w:t>
            </w:r>
          </w:p>
          <w:p w14:paraId="2AE90870" w14:textId="77777777" w:rsidR="00DF5486" w:rsidRDefault="00DF5486">
            <w:pPr>
              <w:pStyle w:val="Normal2"/>
              <w:ind w:firstLine="0"/>
              <w:jc w:val="center"/>
              <w:rPr>
                <w:sz w:val="16"/>
                <w:szCs w:val="16"/>
                <w:lang w:val="en-GB"/>
              </w:rPr>
            </w:pPr>
          </w:p>
        </w:tc>
        <w:tc>
          <w:tcPr>
            <w:tcW w:w="4706" w:type="dxa"/>
          </w:tcPr>
          <w:p w14:paraId="48F577F2" w14:textId="77777777" w:rsidR="00DF5486" w:rsidRDefault="0005652B">
            <w:pPr>
              <w:pStyle w:val="Normal2"/>
              <w:ind w:firstLine="0"/>
              <w:rPr>
                <w:sz w:val="20"/>
                <w:szCs w:val="20"/>
                <w:lang w:val="en-GB"/>
              </w:rPr>
            </w:pPr>
            <w:r>
              <w:rPr>
                <w:sz w:val="20"/>
                <w:szCs w:val="20"/>
                <w:lang w:val="en-GB"/>
              </w:rPr>
              <w:t>If so, justification shall be provided that the processing has undergone changes in its nature, scope, context, purposes or that a significant variation in relation to the risks of processing has been identified, in which case such variation shall be justified in sufficient detail.</w:t>
            </w:r>
          </w:p>
        </w:tc>
      </w:tr>
    </w:tbl>
    <w:p w14:paraId="0F6666FD" w14:textId="77777777" w:rsidR="00DF5486" w:rsidRDefault="00DF5486">
      <w:pPr>
        <w:spacing w:after="0" w:line="240" w:lineRule="auto"/>
        <w:rPr>
          <w:lang w:val="en-GB"/>
        </w:rPr>
      </w:pPr>
    </w:p>
    <w:p w14:paraId="6689B5F3" w14:textId="77777777" w:rsidR="00DF5486" w:rsidRDefault="0005652B">
      <w:pPr>
        <w:spacing w:after="0" w:line="240" w:lineRule="auto"/>
        <w:rPr>
          <w:lang w:val="en-GB"/>
        </w:rPr>
      </w:pPr>
      <w:r w:rsidRPr="00CD0BE3">
        <w:rPr>
          <w:lang w:val="en-US"/>
        </w:rPr>
        <w:br w:type="page"/>
      </w:r>
    </w:p>
    <w:p w14:paraId="4C161467" w14:textId="77777777" w:rsidR="00DF5486" w:rsidRDefault="00DF5486">
      <w:pPr>
        <w:spacing w:after="0" w:line="240" w:lineRule="auto"/>
        <w:rPr>
          <w:lang w:val="en-GB"/>
        </w:rPr>
      </w:pPr>
    </w:p>
    <w:p w14:paraId="06198731" w14:textId="77777777" w:rsidR="00DF5486" w:rsidRDefault="0005652B">
      <w:pPr>
        <w:pStyle w:val="Ttulo2"/>
        <w:rPr>
          <w:lang w:val="en-GB"/>
        </w:rPr>
      </w:pPr>
      <w:r>
        <w:rPr>
          <w:lang w:val="en-GB"/>
        </w:rPr>
        <w:t>Requirements on the DPO (Fifth paragraph.3 of Instruction 1/2021 and art. 35.2 and 39.1.c GDPR).</w:t>
      </w:r>
    </w:p>
    <w:p w14:paraId="1C641920" w14:textId="77777777" w:rsidR="00DF5486" w:rsidRDefault="0005652B">
      <w:pPr>
        <w:jc w:val="both"/>
        <w:rPr>
          <w:lang w:val="en-GB"/>
        </w:rPr>
      </w:pPr>
      <w:r>
        <w:rPr>
          <w:rFonts w:ascii="Arial" w:hAnsi="Arial" w:cs="Arial"/>
          <w:lang w:val="en-GB"/>
        </w:rPr>
        <w:t>Regarding the role of the DPO in the elaboration of the DPIA and the Prior Consultation:</w:t>
      </w:r>
    </w:p>
    <w:tbl>
      <w:tblPr>
        <w:tblStyle w:val="Tablaconcuadrcula"/>
        <w:tblW w:w="10206" w:type="dxa"/>
        <w:tblInd w:w="-572" w:type="dxa"/>
        <w:tblLayout w:type="fixed"/>
        <w:tblLook w:val="04A0" w:firstRow="1" w:lastRow="0" w:firstColumn="1" w:lastColumn="0" w:noHBand="0" w:noVBand="1"/>
      </w:tblPr>
      <w:tblGrid>
        <w:gridCol w:w="3686"/>
        <w:gridCol w:w="1672"/>
        <w:gridCol w:w="4848"/>
      </w:tblGrid>
      <w:tr w:rsidR="00DF5486" w:rsidRPr="00C1334D" w14:paraId="10D0A72F" w14:textId="77777777">
        <w:tc>
          <w:tcPr>
            <w:tcW w:w="3686" w:type="dxa"/>
            <w:shd w:val="clear" w:color="auto" w:fill="FFDE93"/>
          </w:tcPr>
          <w:p w14:paraId="4724AE8D" w14:textId="77777777" w:rsidR="00DF5486" w:rsidRDefault="0005652B">
            <w:pPr>
              <w:pStyle w:val="Normal2"/>
              <w:ind w:firstLine="0"/>
              <w:jc w:val="center"/>
              <w:rPr>
                <w:b/>
                <w:bCs/>
                <w:sz w:val="20"/>
                <w:szCs w:val="20"/>
                <w:lang w:val="en-GB"/>
              </w:rPr>
            </w:pPr>
            <w:r>
              <w:rPr>
                <w:b/>
                <w:bCs/>
                <w:sz w:val="20"/>
                <w:szCs w:val="20"/>
                <w:lang w:val="en-GB"/>
              </w:rPr>
              <w:t>ELEMENTS OF VERIFICATION</w:t>
            </w:r>
          </w:p>
        </w:tc>
        <w:tc>
          <w:tcPr>
            <w:tcW w:w="1672" w:type="dxa"/>
            <w:shd w:val="clear" w:color="auto" w:fill="FFDE93"/>
          </w:tcPr>
          <w:p w14:paraId="65492D77" w14:textId="77777777" w:rsidR="00DF5486" w:rsidRDefault="0005652B">
            <w:pPr>
              <w:pStyle w:val="Normal2"/>
              <w:ind w:firstLine="0"/>
              <w:jc w:val="center"/>
              <w:rPr>
                <w:b/>
                <w:bCs/>
                <w:sz w:val="18"/>
                <w:szCs w:val="18"/>
                <w:lang w:val="en-GB"/>
              </w:rPr>
            </w:pPr>
            <w:r>
              <w:rPr>
                <w:b/>
                <w:bCs/>
                <w:sz w:val="18"/>
                <w:szCs w:val="18"/>
                <w:lang w:val="en-GB"/>
              </w:rPr>
              <w:t>CHECK</w:t>
            </w:r>
          </w:p>
        </w:tc>
        <w:tc>
          <w:tcPr>
            <w:tcW w:w="4848" w:type="dxa"/>
            <w:shd w:val="clear" w:color="auto" w:fill="FFDE93"/>
          </w:tcPr>
          <w:p w14:paraId="43620AB1" w14:textId="77777777" w:rsidR="00DF5486" w:rsidRDefault="0005652B">
            <w:pPr>
              <w:pStyle w:val="Normal2"/>
              <w:ind w:firstLine="0"/>
              <w:jc w:val="center"/>
              <w:rPr>
                <w:b/>
                <w:bCs/>
                <w:sz w:val="20"/>
                <w:szCs w:val="20"/>
                <w:lang w:val="en-GB"/>
              </w:rPr>
            </w:pPr>
            <w:r>
              <w:rPr>
                <w:b/>
                <w:bCs/>
                <w:sz w:val="20"/>
                <w:szCs w:val="20"/>
                <w:lang w:val="en-GB"/>
              </w:rPr>
              <w:t>COMMENTS</w:t>
            </w:r>
          </w:p>
          <w:p w14:paraId="234107B0" w14:textId="77777777" w:rsidR="00DF5486" w:rsidRDefault="0005652B">
            <w:pPr>
              <w:pStyle w:val="Normal2"/>
              <w:ind w:firstLine="0"/>
              <w:jc w:val="center"/>
              <w:rPr>
                <w:sz w:val="20"/>
                <w:szCs w:val="20"/>
                <w:lang w:val="en-GB"/>
              </w:rPr>
            </w:pPr>
            <w:r>
              <w:rPr>
                <w:sz w:val="20"/>
                <w:szCs w:val="20"/>
                <w:lang w:val="en-GB"/>
              </w:rPr>
              <w:t>(</w:t>
            </w:r>
            <w:proofErr w:type="gramStart"/>
            <w:r>
              <w:rPr>
                <w:sz w:val="20"/>
                <w:szCs w:val="20"/>
                <w:lang w:val="en-GB"/>
              </w:rPr>
              <w:t>replace</w:t>
            </w:r>
            <w:proofErr w:type="gramEnd"/>
            <w:r>
              <w:rPr>
                <w:sz w:val="20"/>
                <w:szCs w:val="20"/>
                <w:lang w:val="en-GB"/>
              </w:rPr>
              <w:t xml:space="preserve"> these comments with the appropriate ones in each case)</w:t>
            </w:r>
          </w:p>
        </w:tc>
      </w:tr>
      <w:tr w:rsidR="00DF5486" w:rsidRPr="00C1334D" w14:paraId="4F9D0931" w14:textId="77777777">
        <w:tc>
          <w:tcPr>
            <w:tcW w:w="3686" w:type="dxa"/>
          </w:tcPr>
          <w:p w14:paraId="2FAA6B0D" w14:textId="77777777" w:rsidR="00DF5486" w:rsidRDefault="0005652B">
            <w:pPr>
              <w:pStyle w:val="Normal2"/>
              <w:ind w:firstLine="0"/>
              <w:rPr>
                <w:sz w:val="20"/>
                <w:szCs w:val="20"/>
                <w:lang w:val="en-GB"/>
              </w:rPr>
            </w:pPr>
            <w:r>
              <w:rPr>
                <w:sz w:val="20"/>
                <w:szCs w:val="20"/>
                <w:lang w:val="en-GB"/>
              </w:rPr>
              <w:t xml:space="preserve">2.1 If there is an obligation to have a DPO, the DPO is </w:t>
            </w:r>
            <w:proofErr w:type="gramStart"/>
            <w:r>
              <w:rPr>
                <w:sz w:val="20"/>
                <w:szCs w:val="20"/>
                <w:lang w:val="en-GB"/>
              </w:rPr>
              <w:t>appointed</w:t>
            </w:r>
            <w:proofErr w:type="gramEnd"/>
            <w:r>
              <w:rPr>
                <w:sz w:val="20"/>
                <w:szCs w:val="20"/>
                <w:lang w:val="en-GB"/>
              </w:rPr>
              <w:t xml:space="preserve"> and the Supervisory Authority has been notified (art. 36.3.d and 37 GDPR and art. 34 LOPDGDD).</w:t>
            </w:r>
          </w:p>
        </w:tc>
        <w:tc>
          <w:tcPr>
            <w:tcW w:w="1672" w:type="dxa"/>
            <w:vAlign w:val="center"/>
          </w:tcPr>
          <w:p w14:paraId="37D9954F" w14:textId="77777777" w:rsidR="00DF5486" w:rsidRDefault="0005652B">
            <w:pPr>
              <w:pStyle w:val="Normal2"/>
              <w:ind w:firstLine="0"/>
              <w:jc w:val="center"/>
              <w:rPr>
                <w:sz w:val="16"/>
                <w:szCs w:val="18"/>
                <w:lang w:val="en-GB"/>
              </w:rPr>
            </w:pPr>
            <w:r>
              <w:rPr>
                <w:sz w:val="16"/>
                <w:szCs w:val="18"/>
                <w:lang w:val="en-GB"/>
              </w:rPr>
              <w:t>NO</w:t>
            </w:r>
          </w:p>
          <w:p w14:paraId="3141CB65" w14:textId="77777777" w:rsidR="00DF5486" w:rsidRDefault="0005652B">
            <w:pPr>
              <w:pStyle w:val="Normal2"/>
              <w:ind w:firstLine="0"/>
              <w:jc w:val="center"/>
              <w:rPr>
                <w:sz w:val="18"/>
                <w:szCs w:val="18"/>
                <w:lang w:val="en-GB"/>
              </w:rPr>
            </w:pPr>
            <w:r>
              <w:rPr>
                <w:sz w:val="16"/>
                <w:szCs w:val="18"/>
                <w:lang w:val="en-GB"/>
              </w:rPr>
              <w:t>YES, AND IT IS DEMONSTRATED</w:t>
            </w:r>
          </w:p>
        </w:tc>
        <w:tc>
          <w:tcPr>
            <w:tcW w:w="4848" w:type="dxa"/>
          </w:tcPr>
          <w:p w14:paraId="4424B769" w14:textId="77777777" w:rsidR="00DF5486" w:rsidRDefault="0005652B">
            <w:pPr>
              <w:pStyle w:val="Normal2"/>
              <w:ind w:firstLine="0"/>
              <w:rPr>
                <w:sz w:val="20"/>
                <w:szCs w:val="20"/>
                <w:lang w:val="en-GB"/>
              </w:rPr>
            </w:pPr>
            <w:r>
              <w:rPr>
                <w:sz w:val="20"/>
                <w:szCs w:val="20"/>
                <w:lang w:val="en-GB"/>
              </w:rPr>
              <w:t xml:space="preserve">Failure to comply with these requirements could be an </w:t>
            </w:r>
            <w:proofErr w:type="gramStart"/>
            <w:r>
              <w:rPr>
                <w:sz w:val="20"/>
                <w:szCs w:val="20"/>
                <w:lang w:val="en-GB"/>
              </w:rPr>
              <w:t>infringement in itself, regardless</w:t>
            </w:r>
            <w:proofErr w:type="gramEnd"/>
            <w:r>
              <w:rPr>
                <w:sz w:val="20"/>
                <w:szCs w:val="20"/>
                <w:lang w:val="en-GB"/>
              </w:rPr>
              <w:t xml:space="preserve"> of the DPIA conducted.</w:t>
            </w:r>
          </w:p>
        </w:tc>
      </w:tr>
      <w:tr w:rsidR="00DF5486" w:rsidRPr="00C1334D" w14:paraId="07FA9009" w14:textId="77777777">
        <w:tc>
          <w:tcPr>
            <w:tcW w:w="3686" w:type="dxa"/>
          </w:tcPr>
          <w:p w14:paraId="567672AB" w14:textId="77777777" w:rsidR="00DF5486" w:rsidRDefault="0005652B">
            <w:pPr>
              <w:pStyle w:val="Normal2"/>
              <w:ind w:firstLine="0"/>
              <w:rPr>
                <w:sz w:val="20"/>
                <w:szCs w:val="20"/>
                <w:lang w:val="en-GB"/>
              </w:rPr>
            </w:pPr>
            <w:r>
              <w:rPr>
                <w:sz w:val="20"/>
                <w:szCs w:val="20"/>
                <w:lang w:val="en-GB"/>
              </w:rPr>
              <w:t>2.2 If a DPO exists, the data controller has sought the advice of the DPO upon request (art. 35.2 and 39.1.c GDPR).</w:t>
            </w:r>
          </w:p>
        </w:tc>
        <w:tc>
          <w:tcPr>
            <w:tcW w:w="1672" w:type="dxa"/>
            <w:vAlign w:val="center"/>
          </w:tcPr>
          <w:p w14:paraId="1919EA1B" w14:textId="77777777" w:rsidR="00DF5486" w:rsidRDefault="0005652B">
            <w:pPr>
              <w:pStyle w:val="Normal2"/>
              <w:ind w:firstLine="0"/>
              <w:jc w:val="center"/>
              <w:rPr>
                <w:sz w:val="16"/>
                <w:szCs w:val="18"/>
                <w:lang w:val="en-GB"/>
              </w:rPr>
            </w:pPr>
            <w:r>
              <w:rPr>
                <w:sz w:val="16"/>
                <w:szCs w:val="18"/>
                <w:lang w:val="en-GB"/>
              </w:rPr>
              <w:t>NO</w:t>
            </w:r>
          </w:p>
          <w:p w14:paraId="1236DB70" w14:textId="77777777" w:rsidR="00DF5486" w:rsidRDefault="0005652B">
            <w:pPr>
              <w:pStyle w:val="Normal2"/>
              <w:ind w:firstLine="0"/>
              <w:jc w:val="center"/>
              <w:rPr>
                <w:sz w:val="20"/>
                <w:szCs w:val="20"/>
                <w:lang w:val="en-GB"/>
              </w:rPr>
            </w:pPr>
            <w:r>
              <w:rPr>
                <w:sz w:val="16"/>
                <w:szCs w:val="18"/>
                <w:lang w:val="en-GB"/>
              </w:rPr>
              <w:t>YES, AND IT IS DEMONSTRATED</w:t>
            </w:r>
          </w:p>
        </w:tc>
        <w:tc>
          <w:tcPr>
            <w:tcW w:w="4848" w:type="dxa"/>
          </w:tcPr>
          <w:p w14:paraId="5D8D120E" w14:textId="77777777" w:rsidR="00DF5486" w:rsidRDefault="0005652B">
            <w:pPr>
              <w:pStyle w:val="Normal2"/>
              <w:ind w:firstLine="0"/>
              <w:rPr>
                <w:sz w:val="20"/>
                <w:szCs w:val="20"/>
                <w:lang w:val="en-GB"/>
              </w:rPr>
            </w:pPr>
            <w:r>
              <w:rPr>
                <w:sz w:val="20"/>
                <w:szCs w:val="20"/>
                <w:lang w:val="en-GB"/>
              </w:rPr>
              <w:t>The controller shall seek the advice of the DPO, if appointed, when carrying out the Data Protection Impact Assessment.</w:t>
            </w:r>
          </w:p>
        </w:tc>
      </w:tr>
      <w:tr w:rsidR="00DF5486" w:rsidRPr="00C1334D" w14:paraId="67F24D8E" w14:textId="77777777">
        <w:tc>
          <w:tcPr>
            <w:tcW w:w="3686" w:type="dxa"/>
          </w:tcPr>
          <w:p w14:paraId="327460CB" w14:textId="77777777" w:rsidR="00DF5486" w:rsidRDefault="0005652B">
            <w:pPr>
              <w:pStyle w:val="Normal2"/>
              <w:ind w:firstLine="0"/>
              <w:rPr>
                <w:sz w:val="20"/>
                <w:szCs w:val="20"/>
                <w:lang w:val="en-GB"/>
              </w:rPr>
            </w:pPr>
            <w:r>
              <w:rPr>
                <w:sz w:val="20"/>
                <w:szCs w:val="20"/>
                <w:lang w:val="en-GB"/>
              </w:rPr>
              <w:t>2.3 If there is a DPO, the DPO supervises the implementation of the DPIA (art. 39.1.c GDPR).</w:t>
            </w:r>
          </w:p>
        </w:tc>
        <w:tc>
          <w:tcPr>
            <w:tcW w:w="1672" w:type="dxa"/>
            <w:vAlign w:val="center"/>
          </w:tcPr>
          <w:p w14:paraId="35B21613" w14:textId="77777777" w:rsidR="00DF5486" w:rsidRDefault="0005652B">
            <w:pPr>
              <w:pStyle w:val="Normal2"/>
              <w:ind w:firstLine="0"/>
              <w:jc w:val="center"/>
              <w:rPr>
                <w:sz w:val="16"/>
                <w:szCs w:val="18"/>
                <w:lang w:val="en-GB"/>
              </w:rPr>
            </w:pPr>
            <w:r>
              <w:rPr>
                <w:sz w:val="16"/>
                <w:szCs w:val="18"/>
                <w:lang w:val="en-GB"/>
              </w:rPr>
              <w:t>NO</w:t>
            </w:r>
          </w:p>
          <w:p w14:paraId="0C05B7F0" w14:textId="77777777" w:rsidR="00DF5486" w:rsidRDefault="0005652B">
            <w:pPr>
              <w:pStyle w:val="Normal2"/>
              <w:ind w:firstLine="0"/>
              <w:jc w:val="center"/>
              <w:rPr>
                <w:sz w:val="20"/>
                <w:szCs w:val="20"/>
                <w:lang w:val="en-GB"/>
              </w:rPr>
            </w:pPr>
            <w:r>
              <w:rPr>
                <w:sz w:val="16"/>
                <w:szCs w:val="18"/>
                <w:lang w:val="en-GB"/>
              </w:rPr>
              <w:t>YES, AND IT IS DEMONSTRATED</w:t>
            </w:r>
          </w:p>
        </w:tc>
        <w:tc>
          <w:tcPr>
            <w:tcW w:w="4848" w:type="dxa"/>
          </w:tcPr>
          <w:p w14:paraId="526E2E47" w14:textId="77777777" w:rsidR="00DF5486" w:rsidRDefault="0005652B">
            <w:pPr>
              <w:pStyle w:val="Normal2"/>
              <w:ind w:firstLine="0"/>
              <w:rPr>
                <w:sz w:val="20"/>
                <w:szCs w:val="20"/>
                <w:lang w:val="en-GB"/>
              </w:rPr>
            </w:pPr>
            <w:r>
              <w:rPr>
                <w:sz w:val="20"/>
                <w:szCs w:val="20"/>
                <w:lang w:val="en-GB"/>
              </w:rPr>
              <w:t>The DPO will supervise the implementation and execution of the DPIA as well as the implementation and monitoring of the DPIA throughout the life cycle of the processing.</w:t>
            </w:r>
          </w:p>
        </w:tc>
      </w:tr>
    </w:tbl>
    <w:p w14:paraId="559632C7" w14:textId="77777777" w:rsidR="00DF5486" w:rsidRDefault="00DF5486">
      <w:pPr>
        <w:spacing w:after="0" w:line="240" w:lineRule="auto"/>
        <w:rPr>
          <w:rFonts w:ascii="Arial" w:hAnsi="Arial" w:cs="Arial"/>
          <w:lang w:val="en-GB"/>
        </w:rPr>
      </w:pPr>
    </w:p>
    <w:p w14:paraId="7E26CF3C" w14:textId="77777777" w:rsidR="00DF5486" w:rsidRDefault="0005652B">
      <w:pPr>
        <w:pStyle w:val="Normal2"/>
        <w:rPr>
          <w:lang w:val="en-GB"/>
        </w:rPr>
      </w:pPr>
      <w:r w:rsidRPr="00CD0BE3">
        <w:rPr>
          <w:lang w:val="en-US"/>
        </w:rPr>
        <w:br w:type="page"/>
      </w:r>
    </w:p>
    <w:p w14:paraId="31E933EC" w14:textId="77777777" w:rsidR="00DF5486" w:rsidRDefault="0005652B">
      <w:pPr>
        <w:pStyle w:val="Ttulo2"/>
        <w:rPr>
          <w:lang w:val="en-GB"/>
        </w:rPr>
      </w:pPr>
      <w:r>
        <w:rPr>
          <w:lang w:val="en-GB"/>
        </w:rPr>
        <w:lastRenderedPageBreak/>
        <w:t>Identification of the processing and those involved (art. 35.7.a GDPR, Fifth.</w:t>
      </w:r>
      <w:proofErr w:type="gramStart"/>
      <w:r>
        <w:rPr>
          <w:lang w:val="en-GB"/>
        </w:rPr>
        <w:t>5.a</w:t>
      </w:r>
      <w:proofErr w:type="gramEnd"/>
      <w:r>
        <w:rPr>
          <w:lang w:val="en-GB"/>
        </w:rPr>
        <w:t>, b, e of Instruction 1/2021).</w:t>
      </w:r>
    </w:p>
    <w:tbl>
      <w:tblPr>
        <w:tblStyle w:val="Tablaconcuadrcula"/>
        <w:tblW w:w="10206" w:type="dxa"/>
        <w:tblInd w:w="-572" w:type="dxa"/>
        <w:tblLayout w:type="fixed"/>
        <w:tblLook w:val="04A0" w:firstRow="1" w:lastRow="0" w:firstColumn="1" w:lastColumn="0" w:noHBand="0" w:noVBand="1"/>
      </w:tblPr>
      <w:tblGrid>
        <w:gridCol w:w="3940"/>
        <w:gridCol w:w="1560"/>
        <w:gridCol w:w="4706"/>
      </w:tblGrid>
      <w:tr w:rsidR="00DF5486" w:rsidRPr="00C1334D" w14:paraId="35103218" w14:textId="77777777">
        <w:tc>
          <w:tcPr>
            <w:tcW w:w="3940" w:type="dxa"/>
            <w:shd w:val="clear" w:color="auto" w:fill="FFDE93"/>
          </w:tcPr>
          <w:p w14:paraId="5A79B9C7" w14:textId="77777777" w:rsidR="00DF5486" w:rsidRDefault="0005652B">
            <w:pPr>
              <w:pStyle w:val="Normal2"/>
              <w:ind w:firstLine="0"/>
              <w:jc w:val="center"/>
              <w:rPr>
                <w:b/>
                <w:bCs/>
                <w:sz w:val="20"/>
                <w:szCs w:val="20"/>
                <w:lang w:val="en-GB"/>
              </w:rPr>
            </w:pPr>
            <w:r>
              <w:rPr>
                <w:b/>
                <w:bCs/>
                <w:sz w:val="20"/>
                <w:szCs w:val="20"/>
                <w:lang w:val="en-GB"/>
              </w:rPr>
              <w:t>ELEMENTS OF VERIFICATION</w:t>
            </w:r>
          </w:p>
        </w:tc>
        <w:tc>
          <w:tcPr>
            <w:tcW w:w="1560" w:type="dxa"/>
            <w:shd w:val="clear" w:color="auto" w:fill="FFDE93"/>
          </w:tcPr>
          <w:p w14:paraId="0AD8E75B" w14:textId="77777777" w:rsidR="00DF5486" w:rsidRDefault="0005652B">
            <w:pPr>
              <w:pStyle w:val="Normal2"/>
              <w:ind w:firstLine="0"/>
              <w:jc w:val="center"/>
              <w:rPr>
                <w:b/>
                <w:bCs/>
                <w:sz w:val="18"/>
                <w:szCs w:val="18"/>
                <w:lang w:val="en-GB"/>
              </w:rPr>
            </w:pPr>
            <w:r>
              <w:rPr>
                <w:b/>
                <w:bCs/>
                <w:sz w:val="18"/>
                <w:szCs w:val="18"/>
                <w:lang w:val="en-GB"/>
              </w:rPr>
              <w:t>CHECK</w:t>
            </w:r>
          </w:p>
        </w:tc>
        <w:tc>
          <w:tcPr>
            <w:tcW w:w="4706" w:type="dxa"/>
            <w:shd w:val="clear" w:color="auto" w:fill="FFDE93"/>
          </w:tcPr>
          <w:p w14:paraId="3E303C4A" w14:textId="77777777" w:rsidR="00DF5486" w:rsidRDefault="0005652B">
            <w:pPr>
              <w:pStyle w:val="Normal2"/>
              <w:ind w:firstLine="0"/>
              <w:jc w:val="center"/>
              <w:rPr>
                <w:b/>
                <w:bCs/>
                <w:sz w:val="20"/>
                <w:szCs w:val="20"/>
                <w:lang w:val="en-GB"/>
              </w:rPr>
            </w:pPr>
            <w:r>
              <w:rPr>
                <w:b/>
                <w:bCs/>
                <w:sz w:val="20"/>
                <w:szCs w:val="20"/>
                <w:lang w:val="en-GB"/>
              </w:rPr>
              <w:t>COMMENTS</w:t>
            </w:r>
          </w:p>
          <w:p w14:paraId="5B85BF7E" w14:textId="77777777" w:rsidR="00DF5486" w:rsidRDefault="0005652B">
            <w:pPr>
              <w:pStyle w:val="Normal2"/>
              <w:ind w:firstLine="0"/>
              <w:jc w:val="center"/>
              <w:rPr>
                <w:sz w:val="20"/>
                <w:szCs w:val="20"/>
                <w:lang w:val="en-GB"/>
              </w:rPr>
            </w:pPr>
            <w:r>
              <w:rPr>
                <w:sz w:val="20"/>
                <w:szCs w:val="20"/>
                <w:lang w:val="en-GB"/>
              </w:rPr>
              <w:t>(</w:t>
            </w:r>
            <w:proofErr w:type="gramStart"/>
            <w:r>
              <w:rPr>
                <w:sz w:val="20"/>
                <w:szCs w:val="20"/>
                <w:lang w:val="en-GB"/>
              </w:rPr>
              <w:t>replace</w:t>
            </w:r>
            <w:proofErr w:type="gramEnd"/>
            <w:r>
              <w:rPr>
                <w:sz w:val="20"/>
                <w:szCs w:val="20"/>
                <w:lang w:val="en-GB"/>
              </w:rPr>
              <w:t xml:space="preserve"> these comments with the appropriate ones in each case)</w:t>
            </w:r>
          </w:p>
        </w:tc>
      </w:tr>
      <w:tr w:rsidR="00DF5486" w:rsidRPr="00C1334D" w14:paraId="5D20C34A" w14:textId="77777777">
        <w:tc>
          <w:tcPr>
            <w:tcW w:w="3940" w:type="dxa"/>
          </w:tcPr>
          <w:p w14:paraId="495E9D15" w14:textId="77777777" w:rsidR="00DF5486" w:rsidRDefault="0005652B">
            <w:pPr>
              <w:pStyle w:val="Normal2"/>
              <w:ind w:firstLine="0"/>
              <w:rPr>
                <w:sz w:val="20"/>
                <w:szCs w:val="20"/>
                <w:lang w:val="en-GB"/>
              </w:rPr>
            </w:pPr>
            <w:r>
              <w:rPr>
                <w:sz w:val="20"/>
                <w:szCs w:val="20"/>
                <w:lang w:val="en-GB"/>
              </w:rPr>
              <w:t>3.1 The DPIA documentation identifies the processing with a name and, where appropriate, a version.</w:t>
            </w:r>
          </w:p>
        </w:tc>
        <w:tc>
          <w:tcPr>
            <w:tcW w:w="1560" w:type="dxa"/>
            <w:vAlign w:val="center"/>
          </w:tcPr>
          <w:p w14:paraId="4DBD0AB7" w14:textId="77777777" w:rsidR="00DF5486" w:rsidRDefault="0005652B">
            <w:pPr>
              <w:pStyle w:val="Normal2"/>
              <w:ind w:firstLine="0"/>
              <w:jc w:val="center"/>
              <w:rPr>
                <w:sz w:val="16"/>
                <w:szCs w:val="18"/>
                <w:lang w:val="en-GB"/>
              </w:rPr>
            </w:pPr>
            <w:r>
              <w:rPr>
                <w:sz w:val="16"/>
                <w:szCs w:val="18"/>
                <w:lang w:val="en-GB"/>
              </w:rPr>
              <w:t>NO</w:t>
            </w:r>
          </w:p>
          <w:p w14:paraId="6850F162" w14:textId="77777777" w:rsidR="00DF5486" w:rsidRDefault="0005652B">
            <w:pPr>
              <w:pStyle w:val="Normal2"/>
              <w:ind w:firstLine="0"/>
              <w:jc w:val="center"/>
              <w:rPr>
                <w:sz w:val="20"/>
                <w:szCs w:val="20"/>
                <w:lang w:val="en-GB"/>
              </w:rPr>
            </w:pPr>
            <w:r>
              <w:rPr>
                <w:sz w:val="16"/>
                <w:szCs w:val="18"/>
                <w:lang w:val="en-GB"/>
              </w:rPr>
              <w:t>YES, AND IT IS DEMONSTRATED</w:t>
            </w:r>
          </w:p>
        </w:tc>
        <w:tc>
          <w:tcPr>
            <w:tcW w:w="4706" w:type="dxa"/>
          </w:tcPr>
          <w:p w14:paraId="044933D1" w14:textId="77777777" w:rsidR="00DF5486" w:rsidRDefault="0005652B">
            <w:pPr>
              <w:pStyle w:val="Normal2"/>
              <w:ind w:firstLine="0"/>
              <w:rPr>
                <w:sz w:val="20"/>
                <w:szCs w:val="20"/>
                <w:lang w:val="en-GB"/>
              </w:rPr>
            </w:pPr>
            <w:r>
              <w:rPr>
                <w:sz w:val="20"/>
                <w:szCs w:val="20"/>
                <w:lang w:val="en-GB"/>
              </w:rPr>
              <w:t>The processes of an entity and the development projects of systems, products and services may require one or more processing of personal data. Each processing of personal data shall be individualised by the controller.</w:t>
            </w:r>
          </w:p>
          <w:p w14:paraId="07558C08" w14:textId="77777777" w:rsidR="00DF5486" w:rsidRDefault="0005652B">
            <w:pPr>
              <w:pStyle w:val="Normal2"/>
              <w:ind w:firstLine="0"/>
              <w:rPr>
                <w:sz w:val="20"/>
                <w:szCs w:val="20"/>
                <w:lang w:val="en-GB"/>
              </w:rPr>
            </w:pPr>
            <w:r>
              <w:rPr>
                <w:sz w:val="20"/>
                <w:szCs w:val="20"/>
                <w:lang w:val="en-GB"/>
              </w:rPr>
              <w:t>The name of the processing operation may be any means of identification internal to the entity and which allows traceability with the Register of Processing Activities (RPA) and other management elements internal to the entity.</w:t>
            </w:r>
          </w:p>
          <w:p w14:paraId="77E9BDBC" w14:textId="77777777" w:rsidR="00DF5486" w:rsidRDefault="0005652B">
            <w:pPr>
              <w:pStyle w:val="Normal2"/>
              <w:ind w:firstLine="0"/>
              <w:jc w:val="left"/>
              <w:rPr>
                <w:sz w:val="20"/>
                <w:szCs w:val="20"/>
                <w:lang w:val="en-GB"/>
              </w:rPr>
            </w:pPr>
            <w:r>
              <w:rPr>
                <w:sz w:val="20"/>
                <w:szCs w:val="20"/>
                <w:lang w:val="en-GB"/>
              </w:rPr>
              <w:t>The identification of the version should make it possible to differentiate between different possible configurations or implementations of the processing throughout its life cycle (traceability).</w:t>
            </w:r>
          </w:p>
        </w:tc>
      </w:tr>
      <w:tr w:rsidR="00DF5486" w:rsidRPr="00C1334D" w14:paraId="157A1A3E" w14:textId="77777777">
        <w:tc>
          <w:tcPr>
            <w:tcW w:w="3940" w:type="dxa"/>
          </w:tcPr>
          <w:p w14:paraId="4CF0E099" w14:textId="77777777" w:rsidR="00DF5486" w:rsidRDefault="0005652B">
            <w:pPr>
              <w:pStyle w:val="Normal2"/>
              <w:ind w:firstLine="0"/>
              <w:rPr>
                <w:sz w:val="20"/>
                <w:szCs w:val="20"/>
                <w:lang w:val="en-GB"/>
              </w:rPr>
            </w:pPr>
            <w:r>
              <w:rPr>
                <w:sz w:val="20"/>
                <w:szCs w:val="20"/>
                <w:lang w:val="en-GB"/>
              </w:rPr>
              <w:t xml:space="preserve">3.2 The DPIA includes the date and signature of the data controller, as well as his/her contact details and, where applicable, the contact details, </w:t>
            </w:r>
            <w:proofErr w:type="gramStart"/>
            <w:r>
              <w:rPr>
                <w:sz w:val="20"/>
                <w:szCs w:val="20"/>
                <w:lang w:val="en-GB"/>
              </w:rPr>
              <w:t>date</w:t>
            </w:r>
            <w:proofErr w:type="gramEnd"/>
            <w:r>
              <w:rPr>
                <w:sz w:val="20"/>
                <w:szCs w:val="20"/>
                <w:lang w:val="en-GB"/>
              </w:rPr>
              <w:t xml:space="preserve"> and signature of the DPO (Chapter IV GDPR, art. 28 LOPDGDD) as well as traceability information on who has been involved in its preparation/updating.</w:t>
            </w:r>
          </w:p>
        </w:tc>
        <w:tc>
          <w:tcPr>
            <w:tcW w:w="1560" w:type="dxa"/>
            <w:vAlign w:val="center"/>
          </w:tcPr>
          <w:p w14:paraId="4FE52AF1" w14:textId="77777777" w:rsidR="00DF5486" w:rsidRDefault="0005652B">
            <w:pPr>
              <w:pStyle w:val="Normal2"/>
              <w:ind w:firstLine="0"/>
              <w:jc w:val="center"/>
              <w:rPr>
                <w:sz w:val="16"/>
                <w:szCs w:val="18"/>
                <w:lang w:val="en-GB"/>
              </w:rPr>
            </w:pPr>
            <w:r>
              <w:rPr>
                <w:sz w:val="16"/>
                <w:szCs w:val="18"/>
                <w:lang w:val="en-GB"/>
              </w:rPr>
              <w:t>NO</w:t>
            </w:r>
          </w:p>
          <w:p w14:paraId="25AD45D4" w14:textId="77777777" w:rsidR="00DF5486" w:rsidRDefault="0005652B">
            <w:pPr>
              <w:pStyle w:val="Normal2"/>
              <w:ind w:firstLine="0"/>
              <w:jc w:val="center"/>
              <w:rPr>
                <w:sz w:val="20"/>
                <w:szCs w:val="20"/>
                <w:lang w:val="en-GB"/>
              </w:rPr>
            </w:pPr>
            <w:r>
              <w:rPr>
                <w:sz w:val="16"/>
                <w:szCs w:val="18"/>
                <w:lang w:val="en-GB"/>
              </w:rPr>
              <w:t>YES, AND IT IS DEMONSTRATED</w:t>
            </w:r>
          </w:p>
        </w:tc>
        <w:tc>
          <w:tcPr>
            <w:tcW w:w="4706" w:type="dxa"/>
          </w:tcPr>
          <w:p w14:paraId="035CAD89" w14:textId="77777777" w:rsidR="00DF5486" w:rsidRDefault="0005652B">
            <w:pPr>
              <w:pStyle w:val="Normal2"/>
              <w:ind w:firstLine="0"/>
              <w:rPr>
                <w:sz w:val="20"/>
                <w:szCs w:val="20"/>
                <w:lang w:val="en-GB"/>
              </w:rPr>
            </w:pPr>
            <w:r>
              <w:rPr>
                <w:sz w:val="20"/>
                <w:szCs w:val="20"/>
                <w:lang w:val="en-GB"/>
              </w:rPr>
              <w:t>The controller has the obligation to draw up the DPIA (art. 35.1 GDPR), accrediting traceability and diligence in the selection of those who have been involved in its preparation (proactive responsibility).</w:t>
            </w:r>
          </w:p>
        </w:tc>
      </w:tr>
      <w:tr w:rsidR="00DF5486" w:rsidRPr="00C1334D" w14:paraId="4805DFD8" w14:textId="77777777">
        <w:tc>
          <w:tcPr>
            <w:tcW w:w="3940" w:type="dxa"/>
          </w:tcPr>
          <w:p w14:paraId="084D7C37" w14:textId="77777777" w:rsidR="00DF5486" w:rsidRDefault="0005652B">
            <w:pPr>
              <w:pStyle w:val="Normal2"/>
              <w:ind w:firstLine="0"/>
              <w:rPr>
                <w:sz w:val="20"/>
                <w:szCs w:val="20"/>
                <w:lang w:val="en-GB"/>
              </w:rPr>
            </w:pPr>
            <w:r>
              <w:rPr>
                <w:sz w:val="20"/>
                <w:szCs w:val="20"/>
                <w:lang w:val="en-GB"/>
              </w:rPr>
              <w:t xml:space="preserve">3.3 The controllers, joint controllers, </w:t>
            </w:r>
            <w:proofErr w:type="gramStart"/>
            <w:r>
              <w:rPr>
                <w:sz w:val="20"/>
                <w:szCs w:val="20"/>
                <w:lang w:val="en-GB"/>
              </w:rPr>
              <w:t>processors</w:t>
            </w:r>
            <w:proofErr w:type="gramEnd"/>
            <w:r>
              <w:rPr>
                <w:sz w:val="20"/>
                <w:szCs w:val="20"/>
                <w:lang w:val="en-GB"/>
              </w:rPr>
              <w:t xml:space="preserve"> and other parties involved in the processing are unambiguously identified (Arts. 26, 27 and 28 GDPR).</w:t>
            </w:r>
          </w:p>
        </w:tc>
        <w:tc>
          <w:tcPr>
            <w:tcW w:w="1560" w:type="dxa"/>
            <w:vAlign w:val="center"/>
          </w:tcPr>
          <w:p w14:paraId="1FA30C98" w14:textId="77777777" w:rsidR="00DF5486" w:rsidRDefault="0005652B">
            <w:pPr>
              <w:pStyle w:val="Normal2"/>
              <w:ind w:firstLine="0"/>
              <w:jc w:val="center"/>
              <w:rPr>
                <w:sz w:val="16"/>
                <w:szCs w:val="18"/>
                <w:lang w:val="en-GB"/>
              </w:rPr>
            </w:pPr>
            <w:r>
              <w:rPr>
                <w:sz w:val="16"/>
                <w:szCs w:val="18"/>
                <w:lang w:val="en-GB"/>
              </w:rPr>
              <w:t>NO</w:t>
            </w:r>
          </w:p>
          <w:p w14:paraId="4D26E90D" w14:textId="77777777" w:rsidR="00DF5486" w:rsidRDefault="0005652B">
            <w:pPr>
              <w:pStyle w:val="Normal2"/>
              <w:ind w:firstLine="0"/>
              <w:jc w:val="center"/>
              <w:rPr>
                <w:sz w:val="20"/>
                <w:szCs w:val="20"/>
                <w:lang w:val="en-GB"/>
              </w:rPr>
            </w:pPr>
            <w:r>
              <w:rPr>
                <w:sz w:val="16"/>
                <w:szCs w:val="18"/>
                <w:lang w:val="en-GB"/>
              </w:rPr>
              <w:t>YES, AND IT IS DEMONSTRATED</w:t>
            </w:r>
          </w:p>
        </w:tc>
        <w:tc>
          <w:tcPr>
            <w:tcW w:w="4706" w:type="dxa"/>
          </w:tcPr>
          <w:p w14:paraId="68C77CA6" w14:textId="77777777" w:rsidR="00DF5486" w:rsidRDefault="0005652B">
            <w:pPr>
              <w:pStyle w:val="Normal2"/>
              <w:ind w:firstLine="0"/>
              <w:rPr>
                <w:sz w:val="20"/>
                <w:szCs w:val="20"/>
                <w:lang w:val="en-GB"/>
              </w:rPr>
            </w:pPr>
            <w:r>
              <w:rPr>
                <w:sz w:val="20"/>
                <w:szCs w:val="20"/>
                <w:lang w:val="en-GB"/>
              </w:rPr>
              <w:t>In the DPIA documentation, the parties involved in the processing are unambiguously identified, including their contact details in relation to the identified processing.</w:t>
            </w:r>
          </w:p>
        </w:tc>
      </w:tr>
      <w:tr w:rsidR="00DF5486" w:rsidRPr="00C1334D" w14:paraId="5B641609" w14:textId="77777777">
        <w:tc>
          <w:tcPr>
            <w:tcW w:w="3940" w:type="dxa"/>
          </w:tcPr>
          <w:p w14:paraId="24693EC2" w14:textId="77777777" w:rsidR="00DF5486" w:rsidRDefault="0005652B">
            <w:pPr>
              <w:pStyle w:val="Normal2"/>
              <w:ind w:firstLine="0"/>
              <w:rPr>
                <w:sz w:val="20"/>
                <w:szCs w:val="20"/>
                <w:lang w:val="en-GB"/>
              </w:rPr>
            </w:pPr>
            <w:r>
              <w:rPr>
                <w:sz w:val="20"/>
                <w:szCs w:val="20"/>
                <w:lang w:val="en-GB"/>
              </w:rPr>
              <w:t xml:space="preserve">3.4 The obligations and tasks of controllers, joint controllers, </w:t>
            </w:r>
            <w:proofErr w:type="gramStart"/>
            <w:r>
              <w:rPr>
                <w:sz w:val="20"/>
                <w:szCs w:val="20"/>
                <w:lang w:val="en-GB"/>
              </w:rPr>
              <w:t>processors</w:t>
            </w:r>
            <w:proofErr w:type="gramEnd"/>
            <w:r>
              <w:rPr>
                <w:sz w:val="20"/>
                <w:szCs w:val="20"/>
                <w:lang w:val="en-GB"/>
              </w:rPr>
              <w:t xml:space="preserve"> and other parties involved in the processing (Articles 26, 27, 28, 36.3.a GDPR) are unambiguously set out.</w:t>
            </w:r>
          </w:p>
        </w:tc>
        <w:tc>
          <w:tcPr>
            <w:tcW w:w="1560" w:type="dxa"/>
            <w:vAlign w:val="center"/>
          </w:tcPr>
          <w:p w14:paraId="7499516B" w14:textId="77777777" w:rsidR="00DF5486" w:rsidRDefault="0005652B">
            <w:pPr>
              <w:pStyle w:val="Normal2"/>
              <w:ind w:firstLine="0"/>
              <w:jc w:val="center"/>
              <w:rPr>
                <w:sz w:val="16"/>
                <w:szCs w:val="18"/>
                <w:lang w:val="en-GB"/>
              </w:rPr>
            </w:pPr>
            <w:r>
              <w:rPr>
                <w:sz w:val="16"/>
                <w:szCs w:val="18"/>
                <w:lang w:val="en-GB"/>
              </w:rPr>
              <w:t>NO</w:t>
            </w:r>
          </w:p>
          <w:p w14:paraId="38D577DF" w14:textId="77777777" w:rsidR="00DF5486" w:rsidRDefault="0005652B">
            <w:pPr>
              <w:pStyle w:val="Normal2"/>
              <w:ind w:firstLine="0"/>
              <w:jc w:val="center"/>
              <w:rPr>
                <w:sz w:val="20"/>
                <w:szCs w:val="20"/>
                <w:lang w:val="en-GB"/>
              </w:rPr>
            </w:pPr>
            <w:r>
              <w:rPr>
                <w:sz w:val="16"/>
                <w:szCs w:val="18"/>
                <w:lang w:val="en-GB"/>
              </w:rPr>
              <w:t>YES, AND IT IS DEMONSTRATED</w:t>
            </w:r>
          </w:p>
        </w:tc>
        <w:tc>
          <w:tcPr>
            <w:tcW w:w="4706" w:type="dxa"/>
          </w:tcPr>
          <w:p w14:paraId="7064858B" w14:textId="77777777" w:rsidR="00DF5486" w:rsidRDefault="0005652B">
            <w:pPr>
              <w:pStyle w:val="Normal2"/>
              <w:ind w:firstLine="0"/>
              <w:rPr>
                <w:sz w:val="20"/>
                <w:szCs w:val="20"/>
                <w:lang w:val="en-GB"/>
              </w:rPr>
            </w:pPr>
            <w:r>
              <w:rPr>
                <w:sz w:val="20"/>
                <w:szCs w:val="20"/>
                <w:lang w:val="en-GB"/>
              </w:rPr>
              <w:t>In the DPIA documentation, each controller, co-responsible, processor or sub-processor has detailed responsibilities, functions and roles in the corresponding instrument or legal link with the controller or processor.</w:t>
            </w:r>
          </w:p>
        </w:tc>
      </w:tr>
      <w:tr w:rsidR="00DF5486" w:rsidRPr="00C1334D" w14:paraId="09315F04" w14:textId="77777777">
        <w:tc>
          <w:tcPr>
            <w:tcW w:w="3940" w:type="dxa"/>
          </w:tcPr>
          <w:p w14:paraId="29AE50E1" w14:textId="77777777" w:rsidR="00DF5486" w:rsidRDefault="0005652B">
            <w:pPr>
              <w:pStyle w:val="Normal2"/>
              <w:ind w:firstLine="0"/>
              <w:rPr>
                <w:sz w:val="20"/>
                <w:szCs w:val="20"/>
                <w:lang w:val="en-GB"/>
              </w:rPr>
            </w:pPr>
            <w:r>
              <w:rPr>
                <w:sz w:val="20"/>
                <w:szCs w:val="20"/>
                <w:lang w:val="en-GB"/>
              </w:rPr>
              <w:t>3.5 The description incorporates the inclusion, or potential inclusion, of the processing in the Register of Processing Activities (art. 30 GDPR, art. 31 LOPDGDD).</w:t>
            </w:r>
          </w:p>
        </w:tc>
        <w:tc>
          <w:tcPr>
            <w:tcW w:w="1560" w:type="dxa"/>
            <w:vAlign w:val="center"/>
          </w:tcPr>
          <w:p w14:paraId="1F619A03" w14:textId="77777777" w:rsidR="00DF5486" w:rsidRDefault="0005652B">
            <w:pPr>
              <w:pStyle w:val="Normal2"/>
              <w:ind w:firstLine="0"/>
              <w:jc w:val="center"/>
              <w:rPr>
                <w:sz w:val="16"/>
                <w:szCs w:val="18"/>
                <w:lang w:val="en-GB"/>
              </w:rPr>
            </w:pPr>
            <w:r>
              <w:rPr>
                <w:sz w:val="16"/>
                <w:szCs w:val="18"/>
                <w:lang w:val="en-GB"/>
              </w:rPr>
              <w:t>NO</w:t>
            </w:r>
          </w:p>
          <w:p w14:paraId="7E5E297F" w14:textId="77777777" w:rsidR="00DF5486" w:rsidRDefault="0005652B">
            <w:pPr>
              <w:pStyle w:val="Normal2"/>
              <w:ind w:firstLine="0"/>
              <w:jc w:val="center"/>
              <w:rPr>
                <w:sz w:val="20"/>
                <w:szCs w:val="20"/>
                <w:lang w:val="en-GB"/>
              </w:rPr>
            </w:pPr>
            <w:r>
              <w:rPr>
                <w:sz w:val="16"/>
                <w:szCs w:val="18"/>
                <w:lang w:val="en-GB"/>
              </w:rPr>
              <w:t>YES, AND IT IS DEMONSTRATED</w:t>
            </w:r>
          </w:p>
        </w:tc>
        <w:tc>
          <w:tcPr>
            <w:tcW w:w="4706" w:type="dxa"/>
          </w:tcPr>
          <w:p w14:paraId="7D6AE71E" w14:textId="77777777" w:rsidR="00DF5486" w:rsidRDefault="0005652B">
            <w:pPr>
              <w:pStyle w:val="Normal2"/>
              <w:ind w:firstLine="0"/>
              <w:rPr>
                <w:sz w:val="20"/>
                <w:szCs w:val="20"/>
                <w:lang w:val="en-GB"/>
              </w:rPr>
            </w:pPr>
            <w:r>
              <w:rPr>
                <w:sz w:val="20"/>
                <w:szCs w:val="20"/>
                <w:lang w:val="en-GB"/>
              </w:rPr>
              <w:t>The RPA should be understood as part of the basic and initial processing description and as a basic asset in the risk management or processing management approach.</w:t>
            </w:r>
          </w:p>
        </w:tc>
      </w:tr>
      <w:tr w:rsidR="00DF5486" w:rsidRPr="00C1334D" w14:paraId="0D37502A" w14:textId="77777777">
        <w:tc>
          <w:tcPr>
            <w:tcW w:w="3940" w:type="dxa"/>
          </w:tcPr>
          <w:p w14:paraId="4616CC55" w14:textId="77777777" w:rsidR="00DF5486" w:rsidRDefault="0005652B">
            <w:pPr>
              <w:pStyle w:val="Normal2"/>
              <w:ind w:firstLine="0"/>
              <w:rPr>
                <w:sz w:val="20"/>
                <w:szCs w:val="20"/>
                <w:lang w:val="en-GB"/>
              </w:rPr>
            </w:pPr>
            <w:r>
              <w:rPr>
                <w:sz w:val="20"/>
                <w:szCs w:val="20"/>
                <w:lang w:val="en-GB"/>
              </w:rPr>
              <w:t>3.6 In the case of entities listed in Art. 77.1 LOPDGDD, the description incorporates the inclusion or potential inclusion of the processing in the inventory of processing activities (Art. 31.2 LOPDGDD).</w:t>
            </w:r>
          </w:p>
        </w:tc>
        <w:tc>
          <w:tcPr>
            <w:tcW w:w="1560" w:type="dxa"/>
            <w:vAlign w:val="center"/>
          </w:tcPr>
          <w:p w14:paraId="73A9B556" w14:textId="77777777" w:rsidR="00DF5486" w:rsidRDefault="0005652B">
            <w:pPr>
              <w:pStyle w:val="Normal2"/>
              <w:ind w:firstLine="0"/>
              <w:jc w:val="center"/>
              <w:rPr>
                <w:sz w:val="16"/>
                <w:szCs w:val="18"/>
                <w:lang w:val="en-GB"/>
              </w:rPr>
            </w:pPr>
            <w:r>
              <w:rPr>
                <w:sz w:val="16"/>
                <w:szCs w:val="18"/>
                <w:lang w:val="en-GB"/>
              </w:rPr>
              <w:t>NO</w:t>
            </w:r>
          </w:p>
          <w:p w14:paraId="509EA9FD" w14:textId="77777777" w:rsidR="00DF5486" w:rsidRDefault="0005652B">
            <w:pPr>
              <w:pStyle w:val="Normal2"/>
              <w:ind w:firstLine="0"/>
              <w:jc w:val="center"/>
              <w:rPr>
                <w:sz w:val="20"/>
                <w:szCs w:val="20"/>
                <w:lang w:val="en-GB"/>
              </w:rPr>
            </w:pPr>
            <w:r>
              <w:rPr>
                <w:sz w:val="16"/>
                <w:szCs w:val="18"/>
                <w:lang w:val="en-GB"/>
              </w:rPr>
              <w:t>YES, AND IT IS DEMONSTRATED</w:t>
            </w:r>
          </w:p>
        </w:tc>
        <w:tc>
          <w:tcPr>
            <w:tcW w:w="4706" w:type="dxa"/>
          </w:tcPr>
          <w:p w14:paraId="71EC3197" w14:textId="77777777" w:rsidR="00DF5486" w:rsidRDefault="0005652B">
            <w:pPr>
              <w:pStyle w:val="Normal2"/>
              <w:ind w:firstLine="0"/>
              <w:rPr>
                <w:sz w:val="20"/>
                <w:szCs w:val="20"/>
                <w:lang w:val="en-GB"/>
              </w:rPr>
            </w:pPr>
            <w:r>
              <w:rPr>
                <w:sz w:val="20"/>
                <w:szCs w:val="20"/>
                <w:lang w:val="en-GB"/>
              </w:rPr>
              <w:t>The entities listed in Article 77(1) must draw up the inventory referred to in Article 31(2) LOPDGDD prior to the implementation of the processing, which forms part of the description of the processing and constitutes a further way of addressing the principle of transparency.</w:t>
            </w:r>
          </w:p>
        </w:tc>
      </w:tr>
    </w:tbl>
    <w:p w14:paraId="1E0B1AB9" w14:textId="77777777" w:rsidR="00DF5486" w:rsidRDefault="00DF5486">
      <w:pPr>
        <w:pStyle w:val="Normal2"/>
        <w:rPr>
          <w:lang w:val="en-GB"/>
        </w:rPr>
      </w:pPr>
    </w:p>
    <w:p w14:paraId="2B0CFF47" w14:textId="77777777" w:rsidR="00DF5486" w:rsidRDefault="0005652B">
      <w:pPr>
        <w:spacing w:after="0" w:line="240" w:lineRule="auto"/>
        <w:rPr>
          <w:rFonts w:ascii="Arial" w:hAnsi="Arial" w:cs="Arial"/>
          <w:lang w:val="en-GB"/>
        </w:rPr>
      </w:pPr>
      <w:r w:rsidRPr="00CD0BE3">
        <w:rPr>
          <w:lang w:val="en-US"/>
        </w:rPr>
        <w:br w:type="page"/>
      </w:r>
    </w:p>
    <w:p w14:paraId="2CAA18FE" w14:textId="77777777" w:rsidR="00DF5486" w:rsidRDefault="00DF5486">
      <w:pPr>
        <w:pStyle w:val="Normal2"/>
        <w:rPr>
          <w:lang w:val="en-GB"/>
        </w:rPr>
      </w:pPr>
    </w:p>
    <w:p w14:paraId="148D85B8" w14:textId="77777777" w:rsidR="00DF5486" w:rsidRDefault="0005652B">
      <w:pPr>
        <w:pStyle w:val="Ttulo2"/>
        <w:rPr>
          <w:lang w:val="en-GB"/>
        </w:rPr>
      </w:pPr>
      <w:r>
        <w:rPr>
          <w:lang w:val="en-GB"/>
        </w:rPr>
        <w:t>Updating of a prior consultation (Fifth.5.c of Instruction 1/2021)</w:t>
      </w:r>
    </w:p>
    <w:tbl>
      <w:tblPr>
        <w:tblStyle w:val="Tablaconcuadrcula"/>
        <w:tblW w:w="10206" w:type="dxa"/>
        <w:tblInd w:w="-572" w:type="dxa"/>
        <w:tblLayout w:type="fixed"/>
        <w:tblLook w:val="04A0" w:firstRow="1" w:lastRow="0" w:firstColumn="1" w:lastColumn="0" w:noHBand="0" w:noVBand="1"/>
      </w:tblPr>
      <w:tblGrid>
        <w:gridCol w:w="3686"/>
        <w:gridCol w:w="1672"/>
        <w:gridCol w:w="4848"/>
      </w:tblGrid>
      <w:tr w:rsidR="00DF5486" w:rsidRPr="00C1334D" w14:paraId="44D94850" w14:textId="77777777">
        <w:tc>
          <w:tcPr>
            <w:tcW w:w="3686" w:type="dxa"/>
            <w:shd w:val="clear" w:color="auto" w:fill="FFDE93"/>
          </w:tcPr>
          <w:p w14:paraId="144F9539" w14:textId="77777777" w:rsidR="00DF5486" w:rsidRDefault="0005652B">
            <w:pPr>
              <w:pStyle w:val="Normal2"/>
              <w:ind w:firstLine="0"/>
              <w:jc w:val="center"/>
              <w:rPr>
                <w:b/>
                <w:bCs/>
                <w:sz w:val="20"/>
                <w:szCs w:val="20"/>
                <w:lang w:val="en-GB"/>
              </w:rPr>
            </w:pPr>
            <w:r>
              <w:rPr>
                <w:b/>
                <w:bCs/>
                <w:sz w:val="20"/>
                <w:szCs w:val="20"/>
                <w:lang w:val="en-GB"/>
              </w:rPr>
              <w:t>ELEMENTS OF VERIFICATION</w:t>
            </w:r>
          </w:p>
        </w:tc>
        <w:tc>
          <w:tcPr>
            <w:tcW w:w="1672" w:type="dxa"/>
            <w:shd w:val="clear" w:color="auto" w:fill="FFDE93"/>
          </w:tcPr>
          <w:p w14:paraId="4C1C7A15" w14:textId="77777777" w:rsidR="00DF5486" w:rsidRDefault="0005652B">
            <w:pPr>
              <w:pStyle w:val="Normal2"/>
              <w:ind w:firstLine="0"/>
              <w:jc w:val="center"/>
              <w:rPr>
                <w:b/>
                <w:bCs/>
                <w:sz w:val="18"/>
                <w:szCs w:val="18"/>
                <w:lang w:val="en-GB"/>
              </w:rPr>
            </w:pPr>
            <w:r>
              <w:rPr>
                <w:b/>
                <w:bCs/>
                <w:sz w:val="18"/>
                <w:szCs w:val="18"/>
                <w:lang w:val="en-GB"/>
              </w:rPr>
              <w:t>CHECK</w:t>
            </w:r>
          </w:p>
        </w:tc>
        <w:tc>
          <w:tcPr>
            <w:tcW w:w="4848" w:type="dxa"/>
            <w:shd w:val="clear" w:color="auto" w:fill="FFDE93"/>
          </w:tcPr>
          <w:p w14:paraId="7B845151" w14:textId="77777777" w:rsidR="00DF5486" w:rsidRDefault="0005652B">
            <w:pPr>
              <w:pStyle w:val="Normal2"/>
              <w:ind w:firstLine="0"/>
              <w:jc w:val="center"/>
              <w:rPr>
                <w:b/>
                <w:bCs/>
                <w:sz w:val="20"/>
                <w:szCs w:val="20"/>
                <w:lang w:val="en-GB"/>
              </w:rPr>
            </w:pPr>
            <w:r>
              <w:rPr>
                <w:b/>
                <w:bCs/>
                <w:sz w:val="20"/>
                <w:szCs w:val="20"/>
                <w:lang w:val="en-GB"/>
              </w:rPr>
              <w:t>COMMENTS</w:t>
            </w:r>
          </w:p>
          <w:p w14:paraId="1E307A87" w14:textId="77777777" w:rsidR="00DF5486" w:rsidRDefault="0005652B">
            <w:pPr>
              <w:pStyle w:val="Normal2"/>
              <w:ind w:firstLine="0"/>
              <w:jc w:val="center"/>
              <w:rPr>
                <w:sz w:val="20"/>
                <w:szCs w:val="20"/>
                <w:lang w:val="en-GB"/>
              </w:rPr>
            </w:pPr>
            <w:r>
              <w:rPr>
                <w:sz w:val="20"/>
                <w:szCs w:val="20"/>
                <w:lang w:val="en-GB"/>
              </w:rPr>
              <w:t>(</w:t>
            </w:r>
            <w:proofErr w:type="gramStart"/>
            <w:r>
              <w:rPr>
                <w:sz w:val="20"/>
                <w:szCs w:val="20"/>
                <w:lang w:val="en-GB"/>
              </w:rPr>
              <w:t>replace</w:t>
            </w:r>
            <w:proofErr w:type="gramEnd"/>
            <w:r>
              <w:rPr>
                <w:sz w:val="20"/>
                <w:szCs w:val="20"/>
                <w:lang w:val="en-GB"/>
              </w:rPr>
              <w:t xml:space="preserve"> these comments with the appropriate ones in each case)</w:t>
            </w:r>
          </w:p>
        </w:tc>
      </w:tr>
      <w:tr w:rsidR="00DF5486" w:rsidRPr="00C1334D" w14:paraId="6AFD754C" w14:textId="77777777">
        <w:tc>
          <w:tcPr>
            <w:tcW w:w="3686" w:type="dxa"/>
          </w:tcPr>
          <w:p w14:paraId="5EB7F289" w14:textId="77777777" w:rsidR="00DF5486" w:rsidRDefault="0005652B">
            <w:pPr>
              <w:pStyle w:val="Normal2"/>
              <w:ind w:firstLine="0"/>
              <w:rPr>
                <w:sz w:val="20"/>
                <w:szCs w:val="20"/>
                <w:lang w:val="en-GB"/>
              </w:rPr>
            </w:pPr>
            <w:r>
              <w:rPr>
                <w:sz w:val="20"/>
                <w:szCs w:val="20"/>
                <w:lang w:val="en-GB"/>
              </w:rPr>
              <w:t xml:space="preserve">4.1 If a prior consultation on the same processing operation has been submitted in advance, the changes made to the nature, context, scope, purposes, </w:t>
            </w:r>
            <w:proofErr w:type="gramStart"/>
            <w:r>
              <w:rPr>
                <w:sz w:val="20"/>
                <w:szCs w:val="20"/>
                <w:lang w:val="en-GB"/>
              </w:rPr>
              <w:t>risks</w:t>
            </w:r>
            <w:proofErr w:type="gramEnd"/>
            <w:r>
              <w:rPr>
                <w:sz w:val="20"/>
                <w:szCs w:val="20"/>
                <w:lang w:val="en-GB"/>
              </w:rPr>
              <w:t xml:space="preserve"> and safeguards of the processing operation as a whole must be detailed.</w:t>
            </w:r>
          </w:p>
        </w:tc>
        <w:tc>
          <w:tcPr>
            <w:tcW w:w="1672" w:type="dxa"/>
            <w:vAlign w:val="center"/>
          </w:tcPr>
          <w:p w14:paraId="51E06AEE" w14:textId="77777777" w:rsidR="00DF5486" w:rsidRDefault="0005652B">
            <w:pPr>
              <w:pStyle w:val="Normal2"/>
              <w:ind w:firstLine="0"/>
              <w:jc w:val="center"/>
              <w:rPr>
                <w:sz w:val="16"/>
                <w:szCs w:val="18"/>
                <w:lang w:val="en-GB"/>
              </w:rPr>
            </w:pPr>
            <w:r>
              <w:rPr>
                <w:sz w:val="16"/>
                <w:szCs w:val="18"/>
                <w:lang w:val="en-GB"/>
              </w:rPr>
              <w:t>NO</w:t>
            </w:r>
          </w:p>
          <w:p w14:paraId="2972FB4A" w14:textId="77777777" w:rsidR="00DF5486" w:rsidRDefault="0005652B">
            <w:pPr>
              <w:pStyle w:val="Normal2"/>
              <w:ind w:firstLine="0"/>
              <w:jc w:val="center"/>
              <w:rPr>
                <w:sz w:val="20"/>
                <w:szCs w:val="20"/>
                <w:lang w:val="en-GB"/>
              </w:rPr>
            </w:pPr>
            <w:r>
              <w:rPr>
                <w:sz w:val="16"/>
                <w:szCs w:val="18"/>
                <w:lang w:val="en-GB"/>
              </w:rPr>
              <w:t>YES, AND IT IS DEMONSTRATED</w:t>
            </w:r>
          </w:p>
        </w:tc>
        <w:tc>
          <w:tcPr>
            <w:tcW w:w="4848" w:type="dxa"/>
          </w:tcPr>
          <w:p w14:paraId="3B1EFCA8" w14:textId="77777777" w:rsidR="00DF5486" w:rsidRDefault="0005652B">
            <w:pPr>
              <w:pStyle w:val="Normal2"/>
              <w:ind w:firstLine="0"/>
              <w:rPr>
                <w:sz w:val="20"/>
                <w:szCs w:val="20"/>
                <w:lang w:val="en-GB"/>
              </w:rPr>
            </w:pPr>
            <w:r>
              <w:rPr>
                <w:sz w:val="20"/>
                <w:szCs w:val="20"/>
                <w:lang w:val="en-GB"/>
              </w:rPr>
              <w:t>The DPIA documentation needs to include the history of changes and modifications to the processing in relation to its nature, context, intended scope, purposes, risks and safeguards implemented.</w:t>
            </w:r>
          </w:p>
          <w:p w14:paraId="2ECF8A68" w14:textId="77777777" w:rsidR="00DF5486" w:rsidRDefault="00DF5486">
            <w:pPr>
              <w:pStyle w:val="Normal2"/>
              <w:ind w:firstLine="0"/>
              <w:rPr>
                <w:sz w:val="20"/>
                <w:szCs w:val="20"/>
                <w:lang w:val="en-GB"/>
              </w:rPr>
            </w:pPr>
          </w:p>
        </w:tc>
      </w:tr>
      <w:tr w:rsidR="00DF5486" w:rsidRPr="00C1334D" w14:paraId="13257E50" w14:textId="77777777">
        <w:tc>
          <w:tcPr>
            <w:tcW w:w="3686" w:type="dxa"/>
          </w:tcPr>
          <w:p w14:paraId="1889C352" w14:textId="77777777" w:rsidR="00DF5486" w:rsidRDefault="0005652B">
            <w:pPr>
              <w:pStyle w:val="Normal2"/>
              <w:ind w:firstLine="0"/>
              <w:rPr>
                <w:sz w:val="20"/>
                <w:szCs w:val="20"/>
                <w:lang w:val="en-GB"/>
              </w:rPr>
            </w:pPr>
            <w:r>
              <w:rPr>
                <w:sz w:val="20"/>
                <w:szCs w:val="20"/>
                <w:lang w:val="en-GB"/>
              </w:rPr>
              <w:t>4.2 If there are prior consultations with a Supervisory Authority, an explicit reference to the response(s) of the Supervisory Authority(</w:t>
            </w:r>
            <w:proofErr w:type="spellStart"/>
            <w:r>
              <w:rPr>
                <w:sz w:val="20"/>
                <w:szCs w:val="20"/>
                <w:lang w:val="en-GB"/>
              </w:rPr>
              <w:t>ies</w:t>
            </w:r>
            <w:proofErr w:type="spellEnd"/>
            <w:r>
              <w:rPr>
                <w:sz w:val="20"/>
                <w:szCs w:val="20"/>
                <w:lang w:val="en-GB"/>
              </w:rPr>
              <w:t>) is included.</w:t>
            </w:r>
          </w:p>
        </w:tc>
        <w:tc>
          <w:tcPr>
            <w:tcW w:w="1672" w:type="dxa"/>
            <w:vAlign w:val="center"/>
          </w:tcPr>
          <w:p w14:paraId="7816EB0A" w14:textId="77777777" w:rsidR="00DF5486" w:rsidRDefault="0005652B">
            <w:pPr>
              <w:pStyle w:val="Normal2"/>
              <w:ind w:firstLine="0"/>
              <w:jc w:val="center"/>
              <w:rPr>
                <w:sz w:val="16"/>
                <w:szCs w:val="18"/>
                <w:lang w:val="en-GB"/>
              </w:rPr>
            </w:pPr>
            <w:r>
              <w:rPr>
                <w:sz w:val="16"/>
                <w:szCs w:val="18"/>
                <w:lang w:val="en-GB"/>
              </w:rPr>
              <w:t>NO</w:t>
            </w:r>
          </w:p>
          <w:p w14:paraId="2243DF10" w14:textId="77777777" w:rsidR="00DF5486" w:rsidRDefault="0005652B">
            <w:pPr>
              <w:pStyle w:val="Normal2"/>
              <w:ind w:firstLine="0"/>
              <w:jc w:val="center"/>
              <w:rPr>
                <w:sz w:val="20"/>
                <w:szCs w:val="20"/>
                <w:lang w:val="en-GB"/>
              </w:rPr>
            </w:pPr>
            <w:r>
              <w:rPr>
                <w:sz w:val="16"/>
                <w:szCs w:val="18"/>
                <w:lang w:val="en-GB"/>
              </w:rPr>
              <w:t>YES, AND IT IS DEMONSTRATED</w:t>
            </w:r>
          </w:p>
        </w:tc>
        <w:tc>
          <w:tcPr>
            <w:tcW w:w="4848" w:type="dxa"/>
          </w:tcPr>
          <w:p w14:paraId="20D1292E" w14:textId="77777777" w:rsidR="00DF5486" w:rsidRDefault="0005652B">
            <w:pPr>
              <w:pStyle w:val="Normal2"/>
              <w:ind w:firstLine="0"/>
              <w:rPr>
                <w:sz w:val="20"/>
                <w:szCs w:val="20"/>
                <w:lang w:val="en-GB"/>
              </w:rPr>
            </w:pPr>
            <w:r>
              <w:rPr>
                <w:sz w:val="20"/>
                <w:szCs w:val="20"/>
                <w:lang w:val="en-GB"/>
              </w:rPr>
              <w:t>The DPIA documentation should disclose the safeguards implemented in the processing to mitigate or alleviate the identified risks based on the responses that a supervisory authority would have given in relation to the processing of personal data covered by the DPIA.</w:t>
            </w:r>
          </w:p>
        </w:tc>
      </w:tr>
    </w:tbl>
    <w:p w14:paraId="206B8A2C" w14:textId="77777777" w:rsidR="00DF5486" w:rsidRDefault="00DF5486">
      <w:pPr>
        <w:pStyle w:val="Normal2"/>
        <w:rPr>
          <w:lang w:val="en-GB"/>
        </w:rPr>
      </w:pPr>
    </w:p>
    <w:p w14:paraId="58A07BEC" w14:textId="77777777" w:rsidR="00DF5486" w:rsidRDefault="0005652B">
      <w:pPr>
        <w:spacing w:after="0" w:line="240" w:lineRule="auto"/>
        <w:rPr>
          <w:rFonts w:ascii="Arial" w:hAnsi="Arial" w:cs="Arial"/>
          <w:lang w:val="en-GB"/>
        </w:rPr>
      </w:pPr>
      <w:r w:rsidRPr="00CD0BE3">
        <w:rPr>
          <w:lang w:val="en-US"/>
        </w:rPr>
        <w:br w:type="page"/>
      </w:r>
    </w:p>
    <w:p w14:paraId="1FBEE095" w14:textId="77777777" w:rsidR="00DF5486" w:rsidRDefault="00DF5486">
      <w:pPr>
        <w:pStyle w:val="Normal2"/>
        <w:rPr>
          <w:lang w:val="en-GB"/>
        </w:rPr>
      </w:pPr>
    </w:p>
    <w:p w14:paraId="78BA716B" w14:textId="77777777" w:rsidR="00DF5486" w:rsidRDefault="0005652B">
      <w:pPr>
        <w:pStyle w:val="Ttulo2"/>
        <w:rPr>
          <w:lang w:val="en-GB"/>
        </w:rPr>
      </w:pPr>
      <w:r>
        <w:rPr>
          <w:lang w:val="en-GB"/>
        </w:rPr>
        <w:t>Context of the processing and the DPIA (art. 35.7.a GDPR, Fifth.</w:t>
      </w:r>
      <w:proofErr w:type="gramStart"/>
      <w:r>
        <w:rPr>
          <w:lang w:val="en-GB"/>
        </w:rPr>
        <w:t>5.d</w:t>
      </w:r>
      <w:proofErr w:type="gramEnd"/>
      <w:r>
        <w:rPr>
          <w:lang w:val="en-GB"/>
        </w:rPr>
        <w:t xml:space="preserve"> of Instruction 1/2021)</w:t>
      </w:r>
    </w:p>
    <w:p w14:paraId="239E060A" w14:textId="77777777" w:rsidR="00DF5486" w:rsidRDefault="00DF5486">
      <w:pPr>
        <w:pStyle w:val="Normal2"/>
        <w:rPr>
          <w:lang w:val="en-GB"/>
        </w:rPr>
      </w:pPr>
    </w:p>
    <w:tbl>
      <w:tblPr>
        <w:tblStyle w:val="Tablaconcuadrcula"/>
        <w:tblW w:w="10206" w:type="dxa"/>
        <w:tblInd w:w="-572" w:type="dxa"/>
        <w:tblLayout w:type="fixed"/>
        <w:tblLook w:val="04A0" w:firstRow="1" w:lastRow="0" w:firstColumn="1" w:lastColumn="0" w:noHBand="0" w:noVBand="1"/>
      </w:tblPr>
      <w:tblGrid>
        <w:gridCol w:w="3686"/>
        <w:gridCol w:w="1672"/>
        <w:gridCol w:w="4848"/>
      </w:tblGrid>
      <w:tr w:rsidR="00DF5486" w:rsidRPr="00C1334D" w14:paraId="46232928" w14:textId="77777777">
        <w:tc>
          <w:tcPr>
            <w:tcW w:w="3686" w:type="dxa"/>
            <w:shd w:val="clear" w:color="auto" w:fill="FFDE93"/>
          </w:tcPr>
          <w:p w14:paraId="005A8454" w14:textId="77777777" w:rsidR="00DF5486" w:rsidRDefault="0005652B">
            <w:pPr>
              <w:pStyle w:val="Normal2"/>
              <w:ind w:firstLine="0"/>
              <w:jc w:val="center"/>
              <w:rPr>
                <w:b/>
                <w:bCs/>
                <w:sz w:val="20"/>
                <w:szCs w:val="20"/>
                <w:lang w:val="en-GB"/>
              </w:rPr>
            </w:pPr>
            <w:r>
              <w:rPr>
                <w:b/>
                <w:bCs/>
                <w:sz w:val="20"/>
                <w:szCs w:val="20"/>
                <w:lang w:val="en-GB"/>
              </w:rPr>
              <w:t>ELEMENTS OF VERIFICATION</w:t>
            </w:r>
          </w:p>
        </w:tc>
        <w:tc>
          <w:tcPr>
            <w:tcW w:w="1672" w:type="dxa"/>
            <w:shd w:val="clear" w:color="auto" w:fill="FFDE93"/>
          </w:tcPr>
          <w:p w14:paraId="2B934410" w14:textId="77777777" w:rsidR="00DF5486" w:rsidRDefault="0005652B">
            <w:pPr>
              <w:pStyle w:val="Normal2"/>
              <w:ind w:firstLine="0"/>
              <w:jc w:val="center"/>
              <w:rPr>
                <w:b/>
                <w:bCs/>
                <w:sz w:val="18"/>
                <w:szCs w:val="18"/>
                <w:lang w:val="en-GB"/>
              </w:rPr>
            </w:pPr>
            <w:r>
              <w:rPr>
                <w:b/>
                <w:bCs/>
                <w:sz w:val="18"/>
                <w:szCs w:val="18"/>
                <w:lang w:val="en-GB"/>
              </w:rPr>
              <w:t>CHECK</w:t>
            </w:r>
          </w:p>
        </w:tc>
        <w:tc>
          <w:tcPr>
            <w:tcW w:w="4848" w:type="dxa"/>
            <w:shd w:val="clear" w:color="auto" w:fill="FFDE93"/>
          </w:tcPr>
          <w:p w14:paraId="4BA6E079" w14:textId="77777777" w:rsidR="00DF5486" w:rsidRDefault="0005652B">
            <w:pPr>
              <w:pStyle w:val="Normal2"/>
              <w:ind w:firstLine="0"/>
              <w:jc w:val="center"/>
              <w:rPr>
                <w:b/>
                <w:bCs/>
                <w:sz w:val="20"/>
                <w:szCs w:val="20"/>
                <w:lang w:val="en-GB"/>
              </w:rPr>
            </w:pPr>
            <w:r>
              <w:rPr>
                <w:b/>
                <w:bCs/>
                <w:sz w:val="20"/>
                <w:szCs w:val="20"/>
                <w:lang w:val="en-GB"/>
              </w:rPr>
              <w:t>COMMENTS</w:t>
            </w:r>
          </w:p>
          <w:p w14:paraId="5BFE4ED5" w14:textId="77777777" w:rsidR="00DF5486" w:rsidRDefault="0005652B">
            <w:pPr>
              <w:pStyle w:val="Normal2"/>
              <w:ind w:firstLine="0"/>
              <w:jc w:val="center"/>
              <w:rPr>
                <w:sz w:val="20"/>
                <w:szCs w:val="20"/>
                <w:lang w:val="en-GB"/>
              </w:rPr>
            </w:pPr>
            <w:r>
              <w:rPr>
                <w:sz w:val="20"/>
                <w:szCs w:val="20"/>
                <w:lang w:val="en-GB"/>
              </w:rPr>
              <w:t>(</w:t>
            </w:r>
            <w:proofErr w:type="gramStart"/>
            <w:r>
              <w:rPr>
                <w:sz w:val="20"/>
                <w:szCs w:val="20"/>
                <w:lang w:val="en-GB"/>
              </w:rPr>
              <w:t>replace</w:t>
            </w:r>
            <w:proofErr w:type="gramEnd"/>
            <w:r>
              <w:rPr>
                <w:sz w:val="20"/>
                <w:szCs w:val="20"/>
                <w:lang w:val="en-GB"/>
              </w:rPr>
              <w:t xml:space="preserve"> these comments with the appropriate ones in each case)</w:t>
            </w:r>
          </w:p>
        </w:tc>
      </w:tr>
      <w:tr w:rsidR="00DF5486" w:rsidRPr="00C1334D" w14:paraId="6635E472" w14:textId="77777777">
        <w:tc>
          <w:tcPr>
            <w:tcW w:w="3686" w:type="dxa"/>
          </w:tcPr>
          <w:p w14:paraId="4DEEACF6" w14:textId="77777777" w:rsidR="00DF5486" w:rsidRDefault="0005652B">
            <w:pPr>
              <w:pStyle w:val="Normal2"/>
              <w:ind w:firstLine="0"/>
              <w:rPr>
                <w:sz w:val="20"/>
                <w:szCs w:val="20"/>
                <w:lang w:val="en-GB"/>
              </w:rPr>
            </w:pPr>
            <w:r>
              <w:rPr>
                <w:sz w:val="20"/>
                <w:szCs w:val="20"/>
                <w:lang w:val="en-GB"/>
              </w:rPr>
              <w:t>5.1 A description of the internal context of the organisation in which the processing takes place is included.</w:t>
            </w:r>
          </w:p>
        </w:tc>
        <w:tc>
          <w:tcPr>
            <w:tcW w:w="1672" w:type="dxa"/>
            <w:vAlign w:val="center"/>
          </w:tcPr>
          <w:p w14:paraId="586E3381" w14:textId="77777777" w:rsidR="00DF5486" w:rsidRDefault="0005652B">
            <w:pPr>
              <w:pStyle w:val="Normal2"/>
              <w:ind w:firstLine="0"/>
              <w:jc w:val="center"/>
              <w:rPr>
                <w:sz w:val="16"/>
                <w:szCs w:val="18"/>
                <w:lang w:val="en-GB"/>
              </w:rPr>
            </w:pPr>
            <w:r>
              <w:rPr>
                <w:sz w:val="16"/>
                <w:szCs w:val="18"/>
                <w:lang w:val="en-GB"/>
              </w:rPr>
              <w:t>NO</w:t>
            </w:r>
          </w:p>
          <w:p w14:paraId="16BAC969" w14:textId="77777777" w:rsidR="00DF5486" w:rsidRDefault="0005652B">
            <w:pPr>
              <w:pStyle w:val="Normal2"/>
              <w:ind w:firstLine="0"/>
              <w:jc w:val="center"/>
              <w:rPr>
                <w:sz w:val="18"/>
                <w:szCs w:val="18"/>
                <w:lang w:val="en-GB"/>
              </w:rPr>
            </w:pPr>
            <w:r>
              <w:rPr>
                <w:sz w:val="16"/>
                <w:szCs w:val="18"/>
                <w:lang w:val="en-GB"/>
              </w:rPr>
              <w:t>YES, AND IT IS DEMONSTRATED</w:t>
            </w:r>
          </w:p>
        </w:tc>
        <w:tc>
          <w:tcPr>
            <w:tcW w:w="4848" w:type="dxa"/>
          </w:tcPr>
          <w:p w14:paraId="16CD8A0D" w14:textId="77777777" w:rsidR="00DF5486" w:rsidRDefault="0005652B">
            <w:pPr>
              <w:pStyle w:val="Normal2"/>
              <w:ind w:firstLine="0"/>
              <w:rPr>
                <w:sz w:val="20"/>
                <w:szCs w:val="20"/>
                <w:lang w:val="en-GB"/>
              </w:rPr>
            </w:pPr>
            <w:r>
              <w:rPr>
                <w:sz w:val="20"/>
                <w:szCs w:val="20"/>
                <w:lang w:val="en-GB"/>
              </w:rPr>
              <w:t xml:space="preserve">In the DPIA documentation there is a brief description of the organisation's structure, </w:t>
            </w:r>
            <w:proofErr w:type="gramStart"/>
            <w:r>
              <w:rPr>
                <w:sz w:val="20"/>
                <w:szCs w:val="20"/>
                <w:lang w:val="en-GB"/>
              </w:rPr>
              <w:t>functions</w:t>
            </w:r>
            <w:proofErr w:type="gramEnd"/>
            <w:r>
              <w:rPr>
                <w:sz w:val="20"/>
                <w:szCs w:val="20"/>
                <w:lang w:val="en-GB"/>
              </w:rPr>
              <w:t xml:space="preserve"> and competencies, adopted policies, norms and standards, organisational maturity objectives and in general the organisation's culture.</w:t>
            </w:r>
          </w:p>
        </w:tc>
      </w:tr>
      <w:tr w:rsidR="00DF5486" w:rsidRPr="00C1334D" w14:paraId="206E47F3" w14:textId="77777777">
        <w:tc>
          <w:tcPr>
            <w:tcW w:w="3686" w:type="dxa"/>
          </w:tcPr>
          <w:p w14:paraId="3C89CD72" w14:textId="77777777" w:rsidR="00DF5486" w:rsidRDefault="0005652B">
            <w:pPr>
              <w:pStyle w:val="Normal2"/>
              <w:ind w:firstLine="0"/>
              <w:rPr>
                <w:sz w:val="20"/>
                <w:szCs w:val="20"/>
                <w:lang w:val="en-GB"/>
              </w:rPr>
            </w:pPr>
            <w:r>
              <w:rPr>
                <w:sz w:val="20"/>
                <w:szCs w:val="20"/>
                <w:lang w:val="en-GB"/>
              </w:rPr>
              <w:t>5.2 Description of the context external to the organisation in which the processing takes place.</w:t>
            </w:r>
          </w:p>
        </w:tc>
        <w:tc>
          <w:tcPr>
            <w:tcW w:w="1672" w:type="dxa"/>
            <w:vAlign w:val="center"/>
          </w:tcPr>
          <w:p w14:paraId="0D9B54B3" w14:textId="77777777" w:rsidR="00DF5486" w:rsidRDefault="0005652B">
            <w:pPr>
              <w:pStyle w:val="Normal2"/>
              <w:ind w:firstLine="0"/>
              <w:jc w:val="center"/>
              <w:rPr>
                <w:sz w:val="16"/>
                <w:szCs w:val="18"/>
                <w:lang w:val="en-GB"/>
              </w:rPr>
            </w:pPr>
            <w:r>
              <w:rPr>
                <w:sz w:val="16"/>
                <w:szCs w:val="18"/>
                <w:lang w:val="en-GB"/>
              </w:rPr>
              <w:t>NO</w:t>
            </w:r>
          </w:p>
          <w:p w14:paraId="1B0D190B" w14:textId="77777777" w:rsidR="00DF5486" w:rsidRDefault="0005652B">
            <w:pPr>
              <w:pStyle w:val="Normal2"/>
              <w:ind w:firstLine="0"/>
              <w:jc w:val="center"/>
              <w:rPr>
                <w:sz w:val="20"/>
                <w:szCs w:val="20"/>
                <w:lang w:val="en-GB"/>
              </w:rPr>
            </w:pPr>
            <w:r>
              <w:rPr>
                <w:sz w:val="16"/>
                <w:szCs w:val="18"/>
                <w:lang w:val="en-GB"/>
              </w:rPr>
              <w:t>YES, AND IT IS DEMONSTRATED</w:t>
            </w:r>
          </w:p>
        </w:tc>
        <w:tc>
          <w:tcPr>
            <w:tcW w:w="4848" w:type="dxa"/>
          </w:tcPr>
          <w:p w14:paraId="60866F72" w14:textId="77777777" w:rsidR="00DF5486" w:rsidRDefault="0005652B">
            <w:pPr>
              <w:pStyle w:val="Normal2"/>
              <w:ind w:firstLine="0"/>
              <w:rPr>
                <w:sz w:val="20"/>
                <w:szCs w:val="20"/>
                <w:lang w:val="en-GB"/>
              </w:rPr>
            </w:pPr>
            <w:r>
              <w:rPr>
                <w:sz w:val="20"/>
                <w:szCs w:val="20"/>
                <w:lang w:val="en-GB"/>
              </w:rPr>
              <w:t>The DPIA documentation includes a description of the scope and extent of the processing, the regulatory and social environment relevant to the processing, personal data breaches in similar processing or entities and possible side effects (those not related to the purpose of the processing).</w:t>
            </w:r>
          </w:p>
        </w:tc>
      </w:tr>
      <w:tr w:rsidR="00DF5486" w:rsidRPr="00C1334D" w14:paraId="63A0E411" w14:textId="77777777">
        <w:tc>
          <w:tcPr>
            <w:tcW w:w="3686" w:type="dxa"/>
          </w:tcPr>
          <w:p w14:paraId="41CAFF75" w14:textId="77777777" w:rsidR="00DF5486" w:rsidRDefault="0005652B">
            <w:pPr>
              <w:pStyle w:val="Normal2"/>
              <w:ind w:firstLine="0"/>
              <w:rPr>
                <w:sz w:val="20"/>
                <w:szCs w:val="20"/>
                <w:lang w:val="en-GB"/>
              </w:rPr>
            </w:pPr>
            <w:r>
              <w:rPr>
                <w:sz w:val="20"/>
                <w:szCs w:val="20"/>
                <w:lang w:val="en-GB"/>
              </w:rPr>
              <w:t>5.3 Data protection policies applicable to the processing have been identified (art. 24.2 GDPR).</w:t>
            </w:r>
          </w:p>
        </w:tc>
        <w:tc>
          <w:tcPr>
            <w:tcW w:w="1672" w:type="dxa"/>
            <w:vAlign w:val="center"/>
          </w:tcPr>
          <w:p w14:paraId="23B6FE9A" w14:textId="77777777" w:rsidR="00DF5486" w:rsidRDefault="0005652B">
            <w:pPr>
              <w:pStyle w:val="Normal2"/>
              <w:ind w:firstLine="0"/>
              <w:jc w:val="center"/>
              <w:rPr>
                <w:sz w:val="16"/>
                <w:szCs w:val="18"/>
                <w:lang w:val="en-GB"/>
              </w:rPr>
            </w:pPr>
            <w:r>
              <w:rPr>
                <w:sz w:val="16"/>
                <w:szCs w:val="18"/>
                <w:lang w:val="en-GB"/>
              </w:rPr>
              <w:t>NO</w:t>
            </w:r>
          </w:p>
          <w:p w14:paraId="3E521E48" w14:textId="77777777" w:rsidR="00DF5486" w:rsidRDefault="0005652B">
            <w:pPr>
              <w:pStyle w:val="Normal2"/>
              <w:ind w:firstLine="0"/>
              <w:jc w:val="center"/>
              <w:rPr>
                <w:sz w:val="18"/>
                <w:szCs w:val="18"/>
                <w:lang w:val="en-GB"/>
              </w:rPr>
            </w:pPr>
            <w:r>
              <w:rPr>
                <w:sz w:val="16"/>
                <w:szCs w:val="18"/>
                <w:lang w:val="en-GB"/>
              </w:rPr>
              <w:t>YES, AND IT IS DEMONSTRATED</w:t>
            </w:r>
          </w:p>
        </w:tc>
        <w:tc>
          <w:tcPr>
            <w:tcW w:w="4848" w:type="dxa"/>
          </w:tcPr>
          <w:p w14:paraId="6F607CCE" w14:textId="77777777" w:rsidR="00DF5486" w:rsidRDefault="0005652B">
            <w:pPr>
              <w:pStyle w:val="Normal2"/>
              <w:ind w:firstLine="0"/>
              <w:rPr>
                <w:sz w:val="20"/>
                <w:szCs w:val="20"/>
                <w:lang w:val="en-GB"/>
              </w:rPr>
            </w:pPr>
            <w:r>
              <w:rPr>
                <w:sz w:val="20"/>
                <w:szCs w:val="20"/>
                <w:lang w:val="en-GB"/>
              </w:rPr>
              <w:t>If the controller has data protection policies in place within the organisation that apply to the processing under scrutiny, the DPIA should include these policies and indicate how they apply to the intended processing.</w:t>
            </w:r>
          </w:p>
        </w:tc>
      </w:tr>
    </w:tbl>
    <w:p w14:paraId="2E5A5C7C" w14:textId="77777777" w:rsidR="00DF5486" w:rsidRDefault="00DF5486">
      <w:pPr>
        <w:pStyle w:val="Normal2"/>
        <w:rPr>
          <w:lang w:val="en-GB"/>
        </w:rPr>
      </w:pPr>
    </w:p>
    <w:p w14:paraId="5B9AC1A2" w14:textId="77777777" w:rsidR="00DF5486" w:rsidRDefault="0005652B">
      <w:pPr>
        <w:spacing w:after="0" w:line="240" w:lineRule="auto"/>
        <w:rPr>
          <w:rFonts w:ascii="Arial" w:hAnsi="Arial" w:cs="Arial"/>
          <w:lang w:val="en-GB"/>
        </w:rPr>
      </w:pPr>
      <w:r w:rsidRPr="00CD0BE3">
        <w:rPr>
          <w:lang w:val="en-US"/>
        </w:rPr>
        <w:br w:type="page"/>
      </w:r>
    </w:p>
    <w:p w14:paraId="5B0353B8" w14:textId="77777777" w:rsidR="00DF5486" w:rsidRDefault="00DF5486">
      <w:pPr>
        <w:pStyle w:val="Normal2"/>
        <w:rPr>
          <w:lang w:val="en-GB"/>
        </w:rPr>
      </w:pPr>
    </w:p>
    <w:p w14:paraId="29AF9AF4" w14:textId="77777777" w:rsidR="00DF5486" w:rsidRDefault="0005652B">
      <w:pPr>
        <w:pStyle w:val="Ttulo2"/>
        <w:rPr>
          <w:lang w:val="en-GB"/>
        </w:rPr>
      </w:pPr>
      <w:r>
        <w:rPr>
          <w:lang w:val="en-GB"/>
        </w:rPr>
        <w:t>The processing complies with the requirements of the GDPR (art. 24 GDPR, Fifth.</w:t>
      </w:r>
      <w:proofErr w:type="gramStart"/>
      <w:r>
        <w:rPr>
          <w:lang w:val="en-GB"/>
        </w:rPr>
        <w:t>5.f</w:t>
      </w:r>
      <w:proofErr w:type="gramEnd"/>
      <w:r>
        <w:rPr>
          <w:lang w:val="en-GB"/>
        </w:rPr>
        <w:t xml:space="preserve"> Instruction 1/2021).</w:t>
      </w:r>
    </w:p>
    <w:p w14:paraId="50D845B3" w14:textId="77777777" w:rsidR="00DF5486" w:rsidRDefault="0005652B">
      <w:pPr>
        <w:pStyle w:val="Normal2"/>
        <w:rPr>
          <w:lang w:val="en-GB"/>
        </w:rPr>
      </w:pPr>
      <w:r>
        <w:rPr>
          <w:lang w:val="en-GB"/>
        </w:rPr>
        <w:t>Regulatory compliance is not the subject of analysis of a DPIA, but rather the prerequisite for its preparation</w:t>
      </w:r>
      <w:proofErr w:type="gramStart"/>
      <w:r>
        <w:rPr>
          <w:lang w:val="en-GB"/>
        </w:rPr>
        <w:t>, in particular, the</w:t>
      </w:r>
      <w:proofErr w:type="gramEnd"/>
      <w:r>
        <w:rPr>
          <w:lang w:val="en-GB"/>
        </w:rPr>
        <w:t xml:space="preserve"> absence of a legal basis would constitute a requirement that cannot be remedied by other compliance measures.</w:t>
      </w:r>
    </w:p>
    <w:p w14:paraId="13F6D3AC" w14:textId="77777777" w:rsidR="00DF5486" w:rsidRDefault="0005652B">
      <w:pPr>
        <w:pStyle w:val="Normal2"/>
        <w:rPr>
          <w:lang w:val="en-GB"/>
        </w:rPr>
      </w:pPr>
      <w:r>
        <w:rPr>
          <w:lang w:val="en-GB"/>
        </w:rPr>
        <w:t xml:space="preserve">Without prejudice to a possible more exhaustive analysis of compliance that includes a greater detail of the regulatory compliance requirements, such as the </w:t>
      </w:r>
      <w:r w:rsidR="0017413E">
        <w:fldChar w:fldCharType="begin"/>
      </w:r>
      <w:r w:rsidR="0017413E" w:rsidRPr="00C1334D">
        <w:rPr>
          <w:lang w:val="en-US"/>
        </w:rPr>
        <w:instrText xml:space="preserve"> HYPERLINK "https://www.aepd.es/sites/default/files/2019-11/guia-listado-de-cumplimiento-del-rgpd.pdf" \h </w:instrText>
      </w:r>
      <w:r w:rsidR="0017413E">
        <w:fldChar w:fldCharType="separate"/>
      </w:r>
      <w:r>
        <w:rPr>
          <w:rStyle w:val="EnlacedeInternet"/>
          <w:color w:val="auto"/>
          <w:lang w:val="en-GB"/>
        </w:rPr>
        <w:t>list of regulatory compliance</w:t>
      </w:r>
      <w:r w:rsidR="0017413E">
        <w:rPr>
          <w:rStyle w:val="EnlacedeInternet"/>
          <w:color w:val="auto"/>
          <w:lang w:val="en-GB"/>
        </w:rPr>
        <w:fldChar w:fldCharType="end"/>
      </w:r>
      <w:r>
        <w:rPr>
          <w:lang w:val="en-GB"/>
        </w:rPr>
        <w:t xml:space="preserve"> published by the AEPD, some of the most relevant aspects whose absence, since the entry into force of the GDPR, have been observed in the reports and documents that have been sent to this Agency and which, inexorably, must be taken into account as elements of mandatory compliance, are indicated below. </w:t>
      </w:r>
    </w:p>
    <w:p w14:paraId="7F2339AF" w14:textId="77777777" w:rsidR="00DF5486" w:rsidRDefault="0005652B">
      <w:pPr>
        <w:pStyle w:val="Normal2"/>
        <w:rPr>
          <w:lang w:val="en-GB"/>
        </w:rPr>
      </w:pPr>
      <w:r>
        <w:rPr>
          <w:lang w:val="en-GB"/>
        </w:rPr>
        <w:t>Remember that the process of the DPIA and the analysis of risks to rights and freedoms must be carried out once compliance with the regulatory requirements of the GDPR and the LOPDGDD is guaranteed. Under no circumstances should the DPIA be understood as a mere verification of the regulatory compliance requirements or a closed list of security measures, nor should the DPIA be understood as a way of addressing compliance by replacing the compliance requirements with alternative elements</w:t>
      </w:r>
      <w:proofErr w:type="gramStart"/>
      <w:r>
        <w:rPr>
          <w:lang w:val="en-GB"/>
        </w:rPr>
        <w:t>, in particular, technical</w:t>
      </w:r>
      <w:proofErr w:type="gramEnd"/>
      <w:r>
        <w:rPr>
          <w:lang w:val="en-GB"/>
        </w:rPr>
        <w:t>, organisational or security measures.</w:t>
      </w:r>
    </w:p>
    <w:p w14:paraId="0568E45E" w14:textId="77777777" w:rsidR="00DF5486" w:rsidRDefault="00DF5486">
      <w:pPr>
        <w:pStyle w:val="Normal2"/>
        <w:ind w:firstLine="0"/>
        <w:rPr>
          <w:lang w:val="en-GB"/>
        </w:rPr>
      </w:pPr>
    </w:p>
    <w:tbl>
      <w:tblPr>
        <w:tblStyle w:val="Tablaconcuadrcula"/>
        <w:tblW w:w="10206" w:type="dxa"/>
        <w:tblInd w:w="-572" w:type="dxa"/>
        <w:tblLayout w:type="fixed"/>
        <w:tblLook w:val="04A0" w:firstRow="1" w:lastRow="0" w:firstColumn="1" w:lastColumn="0" w:noHBand="0" w:noVBand="1"/>
      </w:tblPr>
      <w:tblGrid>
        <w:gridCol w:w="3940"/>
        <w:gridCol w:w="1560"/>
        <w:gridCol w:w="4706"/>
      </w:tblGrid>
      <w:tr w:rsidR="00DF5486" w:rsidRPr="00C1334D" w14:paraId="7196D33D" w14:textId="77777777">
        <w:tc>
          <w:tcPr>
            <w:tcW w:w="3940" w:type="dxa"/>
            <w:shd w:val="clear" w:color="auto" w:fill="FFDE93"/>
          </w:tcPr>
          <w:p w14:paraId="240D8BF1" w14:textId="77777777" w:rsidR="00DF5486" w:rsidRDefault="0005652B">
            <w:pPr>
              <w:pStyle w:val="Normal2"/>
              <w:ind w:firstLine="0"/>
              <w:jc w:val="center"/>
              <w:rPr>
                <w:b/>
                <w:bCs/>
                <w:sz w:val="20"/>
                <w:szCs w:val="20"/>
                <w:lang w:val="en-GB"/>
              </w:rPr>
            </w:pPr>
            <w:r>
              <w:rPr>
                <w:b/>
                <w:bCs/>
                <w:sz w:val="20"/>
                <w:szCs w:val="20"/>
                <w:lang w:val="en-GB"/>
              </w:rPr>
              <w:t>ELEMENTS OF VERIFICATION</w:t>
            </w:r>
          </w:p>
        </w:tc>
        <w:tc>
          <w:tcPr>
            <w:tcW w:w="1560" w:type="dxa"/>
            <w:shd w:val="clear" w:color="auto" w:fill="FFDE93"/>
          </w:tcPr>
          <w:p w14:paraId="36BE7352" w14:textId="77777777" w:rsidR="00DF5486" w:rsidRDefault="0005652B">
            <w:pPr>
              <w:pStyle w:val="Normal2"/>
              <w:ind w:firstLine="0"/>
              <w:jc w:val="center"/>
              <w:rPr>
                <w:b/>
                <w:bCs/>
                <w:sz w:val="18"/>
                <w:szCs w:val="18"/>
                <w:lang w:val="en-GB"/>
              </w:rPr>
            </w:pPr>
            <w:r>
              <w:rPr>
                <w:b/>
                <w:bCs/>
                <w:sz w:val="18"/>
                <w:szCs w:val="18"/>
                <w:lang w:val="en-GB"/>
              </w:rPr>
              <w:t>CHECK</w:t>
            </w:r>
          </w:p>
        </w:tc>
        <w:tc>
          <w:tcPr>
            <w:tcW w:w="4706" w:type="dxa"/>
            <w:shd w:val="clear" w:color="auto" w:fill="FFDE93"/>
          </w:tcPr>
          <w:p w14:paraId="435AD14D" w14:textId="77777777" w:rsidR="00DF5486" w:rsidRDefault="0005652B">
            <w:pPr>
              <w:pStyle w:val="Normal2"/>
              <w:ind w:firstLine="0"/>
              <w:jc w:val="center"/>
              <w:rPr>
                <w:b/>
                <w:bCs/>
                <w:sz w:val="20"/>
                <w:szCs w:val="20"/>
                <w:lang w:val="en-GB"/>
              </w:rPr>
            </w:pPr>
            <w:r>
              <w:rPr>
                <w:b/>
                <w:bCs/>
                <w:sz w:val="20"/>
                <w:szCs w:val="20"/>
                <w:lang w:val="en-GB"/>
              </w:rPr>
              <w:t>COMMENTS</w:t>
            </w:r>
          </w:p>
          <w:p w14:paraId="0E1C5FE0" w14:textId="77777777" w:rsidR="00DF5486" w:rsidRDefault="0005652B">
            <w:pPr>
              <w:pStyle w:val="Normal2"/>
              <w:ind w:firstLine="0"/>
              <w:jc w:val="center"/>
              <w:rPr>
                <w:sz w:val="20"/>
                <w:szCs w:val="20"/>
                <w:lang w:val="en-GB"/>
              </w:rPr>
            </w:pPr>
            <w:r>
              <w:rPr>
                <w:sz w:val="20"/>
                <w:szCs w:val="20"/>
                <w:lang w:val="en-GB"/>
              </w:rPr>
              <w:t>(</w:t>
            </w:r>
            <w:proofErr w:type="gramStart"/>
            <w:r>
              <w:rPr>
                <w:sz w:val="20"/>
                <w:szCs w:val="20"/>
                <w:lang w:val="en-GB"/>
              </w:rPr>
              <w:t>replace</w:t>
            </w:r>
            <w:proofErr w:type="gramEnd"/>
            <w:r>
              <w:rPr>
                <w:sz w:val="20"/>
                <w:szCs w:val="20"/>
                <w:lang w:val="en-GB"/>
              </w:rPr>
              <w:t xml:space="preserve"> these comments with the appropriate ones in each case)</w:t>
            </w:r>
          </w:p>
        </w:tc>
      </w:tr>
      <w:tr w:rsidR="00DF5486" w:rsidRPr="00C1334D" w14:paraId="73C372BF" w14:textId="77777777">
        <w:tc>
          <w:tcPr>
            <w:tcW w:w="3940" w:type="dxa"/>
          </w:tcPr>
          <w:p w14:paraId="4232B436" w14:textId="77777777" w:rsidR="00DF5486" w:rsidRDefault="0005652B">
            <w:pPr>
              <w:pStyle w:val="Normal2"/>
              <w:ind w:firstLine="0"/>
              <w:rPr>
                <w:sz w:val="20"/>
                <w:szCs w:val="20"/>
                <w:lang w:val="en-GB"/>
              </w:rPr>
            </w:pPr>
            <w:r>
              <w:rPr>
                <w:sz w:val="20"/>
                <w:szCs w:val="20"/>
                <w:lang w:val="en-GB"/>
              </w:rPr>
              <w:t xml:space="preserve">6.1 The purpose(s) exist and are described (Arts. 5.1.b, 5.1.c and 36.3.b GDPR and section III.A of the </w:t>
            </w:r>
            <w:r w:rsidR="0017413E">
              <w:fldChar w:fldCharType="begin"/>
            </w:r>
            <w:r w:rsidR="0017413E" w:rsidRPr="00C1334D">
              <w:rPr>
                <w:lang w:val="en-US"/>
              </w:rPr>
              <w:instrText xml:space="preserve"> HYPERLINK "https://www.aepd.es/es/documento/</w:instrText>
            </w:r>
            <w:r w:rsidR="0017413E" w:rsidRPr="00C1334D">
              <w:rPr>
                <w:lang w:val="en-US"/>
              </w:rPr>
              <w:instrText xml:space="preserve">risk-management-and-impact-assessment-in-processing-personal-data.pdf" \h </w:instrText>
            </w:r>
            <w:r w:rsidR="0017413E">
              <w:fldChar w:fldCharType="separate"/>
            </w:r>
            <w:r>
              <w:rPr>
                <w:rStyle w:val="EnlacedeInternet"/>
                <w:sz w:val="20"/>
                <w:szCs w:val="20"/>
                <w:lang w:val="en-GB"/>
              </w:rPr>
              <w:t>Guide</w:t>
            </w:r>
            <w:r w:rsidR="0017413E">
              <w:rPr>
                <w:rStyle w:val="EnlacedeInternet"/>
                <w:sz w:val="20"/>
                <w:szCs w:val="20"/>
                <w:lang w:val="en-GB"/>
              </w:rPr>
              <w:fldChar w:fldCharType="end"/>
            </w:r>
            <w:r>
              <w:rPr>
                <w:sz w:val="20"/>
                <w:szCs w:val="20"/>
                <w:lang w:val="en-GB"/>
              </w:rPr>
              <w:t>).</w:t>
            </w:r>
          </w:p>
        </w:tc>
        <w:tc>
          <w:tcPr>
            <w:tcW w:w="1560" w:type="dxa"/>
            <w:vAlign w:val="center"/>
          </w:tcPr>
          <w:p w14:paraId="2E384892" w14:textId="77777777" w:rsidR="00DF5486" w:rsidRDefault="0005652B">
            <w:pPr>
              <w:pStyle w:val="Normal2"/>
              <w:ind w:firstLine="0"/>
              <w:jc w:val="center"/>
              <w:rPr>
                <w:sz w:val="16"/>
                <w:szCs w:val="18"/>
                <w:lang w:val="en-GB"/>
              </w:rPr>
            </w:pPr>
            <w:r>
              <w:rPr>
                <w:sz w:val="16"/>
                <w:szCs w:val="18"/>
                <w:lang w:val="en-GB"/>
              </w:rPr>
              <w:t>NO</w:t>
            </w:r>
          </w:p>
          <w:p w14:paraId="4044D16C" w14:textId="77777777" w:rsidR="00DF5486" w:rsidRDefault="0005652B">
            <w:pPr>
              <w:pStyle w:val="Normal2"/>
              <w:ind w:firstLine="0"/>
              <w:jc w:val="center"/>
              <w:rPr>
                <w:sz w:val="18"/>
                <w:szCs w:val="18"/>
                <w:lang w:val="en-GB"/>
              </w:rPr>
            </w:pPr>
            <w:r>
              <w:rPr>
                <w:sz w:val="16"/>
                <w:szCs w:val="18"/>
                <w:lang w:val="en-GB"/>
              </w:rPr>
              <w:t>YES, AND IT IS DEMONSTRATED</w:t>
            </w:r>
          </w:p>
        </w:tc>
        <w:tc>
          <w:tcPr>
            <w:tcW w:w="4706" w:type="dxa"/>
          </w:tcPr>
          <w:p w14:paraId="2B22E18B" w14:textId="77777777" w:rsidR="00DF5486" w:rsidRDefault="0005652B">
            <w:pPr>
              <w:pStyle w:val="Normal2"/>
              <w:ind w:firstLine="0"/>
              <w:rPr>
                <w:sz w:val="20"/>
                <w:szCs w:val="20"/>
                <w:lang w:val="en-GB"/>
              </w:rPr>
            </w:pPr>
            <w:r>
              <w:rPr>
                <w:sz w:val="20"/>
                <w:szCs w:val="20"/>
                <w:lang w:val="en-GB"/>
              </w:rPr>
              <w:t xml:space="preserve">The DPIA documentation defines and justifies that the goals are ultimate, specific, achievable, </w:t>
            </w:r>
            <w:proofErr w:type="gramStart"/>
            <w:r>
              <w:rPr>
                <w:sz w:val="20"/>
                <w:szCs w:val="20"/>
                <w:lang w:val="en-GB"/>
              </w:rPr>
              <w:t>measurable</w:t>
            </w:r>
            <w:proofErr w:type="gramEnd"/>
            <w:r>
              <w:rPr>
                <w:sz w:val="20"/>
                <w:szCs w:val="20"/>
                <w:lang w:val="en-GB"/>
              </w:rPr>
              <w:t xml:space="preserve"> and limited.</w:t>
            </w:r>
          </w:p>
          <w:p w14:paraId="74336C02" w14:textId="77777777" w:rsidR="00DF5486" w:rsidRDefault="0005652B">
            <w:pPr>
              <w:pStyle w:val="Normal2"/>
              <w:ind w:firstLine="0"/>
              <w:rPr>
                <w:sz w:val="20"/>
                <w:szCs w:val="20"/>
                <w:lang w:val="en-GB"/>
              </w:rPr>
            </w:pPr>
            <w:r>
              <w:rPr>
                <w:sz w:val="20"/>
                <w:szCs w:val="20"/>
                <w:lang w:val="en-GB"/>
              </w:rPr>
              <w:t xml:space="preserve">This description must be complete, also stating further, </w:t>
            </w:r>
            <w:proofErr w:type="gramStart"/>
            <w:r>
              <w:rPr>
                <w:sz w:val="20"/>
                <w:szCs w:val="20"/>
                <w:lang w:val="en-GB"/>
              </w:rPr>
              <w:t>intended</w:t>
            </w:r>
            <w:proofErr w:type="gramEnd"/>
            <w:r>
              <w:rPr>
                <w:sz w:val="20"/>
                <w:szCs w:val="20"/>
                <w:lang w:val="en-GB"/>
              </w:rPr>
              <w:t xml:space="preserve"> or collateral purposes, transfers of data and must be carried out in accordance with the principle of fairness in Article 5(1) of the GDPR.</w:t>
            </w:r>
          </w:p>
        </w:tc>
      </w:tr>
      <w:tr w:rsidR="00DF5486" w:rsidRPr="00C1334D" w14:paraId="75644CAE" w14:textId="77777777">
        <w:tc>
          <w:tcPr>
            <w:tcW w:w="3940" w:type="dxa"/>
          </w:tcPr>
          <w:p w14:paraId="2C160A7D" w14:textId="77777777" w:rsidR="00DF5486" w:rsidRDefault="0005652B">
            <w:pPr>
              <w:pStyle w:val="Normal2"/>
              <w:ind w:firstLine="0"/>
              <w:rPr>
                <w:sz w:val="20"/>
                <w:szCs w:val="20"/>
                <w:lang w:val="en-GB"/>
              </w:rPr>
            </w:pPr>
            <w:r>
              <w:rPr>
                <w:sz w:val="20"/>
                <w:szCs w:val="20"/>
                <w:lang w:val="en-GB"/>
              </w:rPr>
              <w:t>6.2 An analysis of the legal bases for processing (Art. 6 GDPR) has been carried out.</w:t>
            </w:r>
          </w:p>
        </w:tc>
        <w:tc>
          <w:tcPr>
            <w:tcW w:w="1560" w:type="dxa"/>
            <w:vAlign w:val="center"/>
          </w:tcPr>
          <w:p w14:paraId="649D360C" w14:textId="77777777" w:rsidR="00DF5486" w:rsidRDefault="0005652B">
            <w:pPr>
              <w:pStyle w:val="Normal2"/>
              <w:ind w:firstLine="0"/>
              <w:jc w:val="center"/>
              <w:rPr>
                <w:sz w:val="16"/>
                <w:szCs w:val="18"/>
                <w:lang w:val="en-GB"/>
              </w:rPr>
            </w:pPr>
            <w:r>
              <w:rPr>
                <w:sz w:val="16"/>
                <w:szCs w:val="18"/>
                <w:lang w:val="en-GB"/>
              </w:rPr>
              <w:t>NO</w:t>
            </w:r>
          </w:p>
          <w:p w14:paraId="7E2F65FD" w14:textId="77777777" w:rsidR="00DF5486" w:rsidRDefault="0005652B">
            <w:pPr>
              <w:pStyle w:val="Normal2"/>
              <w:ind w:firstLine="0"/>
              <w:jc w:val="center"/>
              <w:rPr>
                <w:sz w:val="18"/>
                <w:szCs w:val="18"/>
                <w:lang w:val="en-GB"/>
              </w:rPr>
            </w:pPr>
            <w:r>
              <w:rPr>
                <w:sz w:val="16"/>
                <w:szCs w:val="18"/>
                <w:lang w:val="en-GB"/>
              </w:rPr>
              <w:t>YES, AND IT IS DEMONSTRATED</w:t>
            </w:r>
          </w:p>
        </w:tc>
        <w:tc>
          <w:tcPr>
            <w:tcW w:w="4706" w:type="dxa"/>
          </w:tcPr>
          <w:p w14:paraId="7B688FDF" w14:textId="77777777" w:rsidR="00DF5486" w:rsidRDefault="0005652B">
            <w:pPr>
              <w:pStyle w:val="Normal2"/>
              <w:ind w:firstLine="0"/>
              <w:rPr>
                <w:sz w:val="20"/>
                <w:szCs w:val="20"/>
                <w:lang w:val="en-GB"/>
              </w:rPr>
            </w:pPr>
            <w:r>
              <w:rPr>
                <w:sz w:val="20"/>
                <w:szCs w:val="20"/>
                <w:lang w:val="en-GB"/>
              </w:rPr>
              <w:t>It must be carried out and described in the DPIA documentation and for each of the purposes of the processing in relation to its possible legal bases.</w:t>
            </w:r>
          </w:p>
        </w:tc>
      </w:tr>
      <w:tr w:rsidR="00DF5486" w:rsidRPr="00C1334D" w14:paraId="1D4D9164" w14:textId="77777777">
        <w:tc>
          <w:tcPr>
            <w:tcW w:w="3940" w:type="dxa"/>
          </w:tcPr>
          <w:p w14:paraId="23DE93FE" w14:textId="77777777" w:rsidR="00DF5486" w:rsidRDefault="0005652B">
            <w:pPr>
              <w:pStyle w:val="Normal2"/>
              <w:ind w:firstLine="0"/>
              <w:rPr>
                <w:sz w:val="20"/>
                <w:szCs w:val="20"/>
                <w:lang w:val="en-GB"/>
              </w:rPr>
            </w:pPr>
            <w:r>
              <w:rPr>
                <w:sz w:val="20"/>
                <w:szCs w:val="20"/>
                <w:lang w:val="en-GB"/>
              </w:rPr>
              <w:t>6.3 The analysis of the legal bases has been carried out in relation to each of the purposes of the processing, including secondary or further purposes.</w:t>
            </w:r>
          </w:p>
        </w:tc>
        <w:tc>
          <w:tcPr>
            <w:tcW w:w="1560" w:type="dxa"/>
            <w:vAlign w:val="center"/>
          </w:tcPr>
          <w:p w14:paraId="2CE03697" w14:textId="77777777" w:rsidR="00DF5486" w:rsidRDefault="0005652B">
            <w:pPr>
              <w:pStyle w:val="Normal2"/>
              <w:ind w:firstLine="0"/>
              <w:jc w:val="center"/>
              <w:rPr>
                <w:sz w:val="16"/>
                <w:szCs w:val="18"/>
                <w:lang w:val="en-GB"/>
              </w:rPr>
            </w:pPr>
            <w:r>
              <w:rPr>
                <w:sz w:val="16"/>
                <w:szCs w:val="18"/>
                <w:lang w:val="en-GB"/>
              </w:rPr>
              <w:t>NO</w:t>
            </w:r>
          </w:p>
          <w:p w14:paraId="309B04FD" w14:textId="77777777" w:rsidR="00DF5486" w:rsidRDefault="0005652B">
            <w:pPr>
              <w:pStyle w:val="Normal2"/>
              <w:ind w:firstLine="0"/>
              <w:jc w:val="center"/>
              <w:rPr>
                <w:sz w:val="18"/>
                <w:szCs w:val="18"/>
                <w:lang w:val="en-GB"/>
              </w:rPr>
            </w:pPr>
            <w:r>
              <w:rPr>
                <w:sz w:val="16"/>
                <w:szCs w:val="18"/>
                <w:lang w:val="en-GB"/>
              </w:rPr>
              <w:t>YES, AND IT IS DEMONSTRATED</w:t>
            </w:r>
          </w:p>
        </w:tc>
        <w:tc>
          <w:tcPr>
            <w:tcW w:w="4706" w:type="dxa"/>
          </w:tcPr>
          <w:p w14:paraId="461B3859" w14:textId="77777777" w:rsidR="00DF5486" w:rsidRDefault="0005652B">
            <w:pPr>
              <w:pStyle w:val="Normal2"/>
              <w:ind w:firstLine="0"/>
              <w:rPr>
                <w:sz w:val="20"/>
                <w:szCs w:val="20"/>
                <w:lang w:val="en-GB"/>
              </w:rPr>
            </w:pPr>
            <w:r>
              <w:rPr>
                <w:sz w:val="20"/>
                <w:szCs w:val="20"/>
                <w:lang w:val="en-GB"/>
              </w:rPr>
              <w:t>The processing operations may incorporate different purposes, and in that case, the legal bases for each of them must be detailed separately in the DPIA documentation.</w:t>
            </w:r>
          </w:p>
        </w:tc>
      </w:tr>
      <w:tr w:rsidR="00DF5486" w:rsidRPr="00C1334D" w14:paraId="712D7B3B" w14:textId="77777777">
        <w:tc>
          <w:tcPr>
            <w:tcW w:w="3940" w:type="dxa"/>
          </w:tcPr>
          <w:p w14:paraId="43CF61C0" w14:textId="77777777" w:rsidR="00DF5486" w:rsidRDefault="0005652B">
            <w:pPr>
              <w:pStyle w:val="Normal2"/>
              <w:ind w:firstLine="0"/>
              <w:rPr>
                <w:sz w:val="20"/>
                <w:szCs w:val="20"/>
                <w:lang w:val="en-GB"/>
              </w:rPr>
            </w:pPr>
            <w:r>
              <w:rPr>
                <w:sz w:val="20"/>
                <w:szCs w:val="20"/>
                <w:lang w:val="en-GB"/>
              </w:rPr>
              <w:t>6.4 If the lawfulness of the processing is based on consent (Article 6(1)(a) of the GDPR), the conditions set out in Article 7 and Recitals 32, 42 and 43 of the GDPR have been analysed.</w:t>
            </w:r>
          </w:p>
        </w:tc>
        <w:tc>
          <w:tcPr>
            <w:tcW w:w="1560" w:type="dxa"/>
            <w:vAlign w:val="center"/>
          </w:tcPr>
          <w:p w14:paraId="05E5D3FA" w14:textId="77777777" w:rsidR="00DF5486" w:rsidRDefault="0005652B">
            <w:pPr>
              <w:pStyle w:val="Normal2"/>
              <w:ind w:firstLine="0"/>
              <w:jc w:val="center"/>
              <w:rPr>
                <w:sz w:val="16"/>
                <w:szCs w:val="18"/>
                <w:lang w:val="en-GB"/>
              </w:rPr>
            </w:pPr>
            <w:r>
              <w:rPr>
                <w:sz w:val="16"/>
                <w:szCs w:val="18"/>
                <w:lang w:val="en-GB"/>
              </w:rPr>
              <w:t>NO</w:t>
            </w:r>
          </w:p>
          <w:p w14:paraId="5D01CD66" w14:textId="77777777" w:rsidR="00DF5486" w:rsidRDefault="0005652B">
            <w:pPr>
              <w:pStyle w:val="Normal2"/>
              <w:ind w:firstLine="0"/>
              <w:jc w:val="center"/>
              <w:rPr>
                <w:sz w:val="18"/>
                <w:szCs w:val="18"/>
                <w:lang w:val="en-GB"/>
              </w:rPr>
            </w:pPr>
            <w:r>
              <w:rPr>
                <w:sz w:val="16"/>
                <w:szCs w:val="18"/>
                <w:lang w:val="en-GB"/>
              </w:rPr>
              <w:t>YES, AND IT IS DEMONSTRATED</w:t>
            </w:r>
          </w:p>
        </w:tc>
        <w:tc>
          <w:tcPr>
            <w:tcW w:w="4706" w:type="dxa"/>
          </w:tcPr>
          <w:p w14:paraId="2931A902" w14:textId="77777777" w:rsidR="00DF5486" w:rsidRDefault="0005652B">
            <w:pPr>
              <w:pStyle w:val="Normal2"/>
              <w:ind w:firstLine="0"/>
              <w:rPr>
                <w:sz w:val="20"/>
                <w:szCs w:val="20"/>
                <w:lang w:val="en-GB"/>
              </w:rPr>
            </w:pPr>
            <w:r>
              <w:rPr>
                <w:sz w:val="20"/>
                <w:szCs w:val="20"/>
                <w:lang w:val="en-GB"/>
              </w:rPr>
              <w:t xml:space="preserve">The analysis of the conditions of free, </w:t>
            </w:r>
            <w:proofErr w:type="gramStart"/>
            <w:r>
              <w:rPr>
                <w:sz w:val="20"/>
                <w:szCs w:val="20"/>
                <w:lang w:val="en-GB"/>
              </w:rPr>
              <w:t>specific</w:t>
            </w:r>
            <w:proofErr w:type="gramEnd"/>
            <w:r>
              <w:rPr>
                <w:sz w:val="20"/>
                <w:szCs w:val="20"/>
                <w:lang w:val="en-GB"/>
              </w:rPr>
              <w:t xml:space="preserve"> and informed consent that guarantee the absence of asymmetries and the full freedom and knowledge of the data subject at the time of giving consent must be included in the documentation of the DPIA.</w:t>
            </w:r>
          </w:p>
        </w:tc>
      </w:tr>
      <w:tr w:rsidR="00DF5486" w:rsidRPr="00C1334D" w14:paraId="0BC41688" w14:textId="77777777">
        <w:tc>
          <w:tcPr>
            <w:tcW w:w="3940" w:type="dxa"/>
          </w:tcPr>
          <w:p w14:paraId="78DD678A" w14:textId="77777777" w:rsidR="00DF5486" w:rsidRDefault="0005652B">
            <w:pPr>
              <w:pStyle w:val="Normal2"/>
              <w:ind w:firstLine="0"/>
              <w:rPr>
                <w:sz w:val="20"/>
                <w:szCs w:val="20"/>
                <w:lang w:val="en-GB"/>
              </w:rPr>
            </w:pPr>
            <w:r>
              <w:rPr>
                <w:sz w:val="20"/>
                <w:szCs w:val="20"/>
                <w:lang w:val="en-GB"/>
              </w:rPr>
              <w:t xml:space="preserve">6.5 If the lawfulness of the processing is based on legitimate interest (Art. 6.1.f </w:t>
            </w:r>
            <w:r>
              <w:rPr>
                <w:sz w:val="20"/>
                <w:szCs w:val="20"/>
                <w:lang w:val="en-GB"/>
              </w:rPr>
              <w:lastRenderedPageBreak/>
              <w:t xml:space="preserve">GDPR), a balancing of rights has been carried out, </w:t>
            </w:r>
            <w:proofErr w:type="gramStart"/>
            <w:r>
              <w:rPr>
                <w:sz w:val="20"/>
                <w:szCs w:val="20"/>
                <w:lang w:val="en-GB"/>
              </w:rPr>
              <w:t>in particular when</w:t>
            </w:r>
            <w:proofErr w:type="gramEnd"/>
            <w:r>
              <w:rPr>
                <w:sz w:val="20"/>
                <w:szCs w:val="20"/>
                <w:lang w:val="en-GB"/>
              </w:rPr>
              <w:t xml:space="preserve"> it concerns minors or persons at risk of social exclusion or other circumstances that could lead to discrimination against data subjects.</w:t>
            </w:r>
          </w:p>
        </w:tc>
        <w:tc>
          <w:tcPr>
            <w:tcW w:w="1560" w:type="dxa"/>
            <w:vAlign w:val="center"/>
          </w:tcPr>
          <w:p w14:paraId="60DA028E" w14:textId="77777777" w:rsidR="00DF5486" w:rsidRDefault="0005652B">
            <w:pPr>
              <w:pStyle w:val="Normal2"/>
              <w:ind w:firstLine="0"/>
              <w:jc w:val="center"/>
              <w:rPr>
                <w:sz w:val="16"/>
                <w:szCs w:val="18"/>
                <w:lang w:val="en-GB"/>
              </w:rPr>
            </w:pPr>
            <w:r>
              <w:rPr>
                <w:sz w:val="16"/>
                <w:szCs w:val="18"/>
                <w:lang w:val="en-GB"/>
              </w:rPr>
              <w:lastRenderedPageBreak/>
              <w:t>NO</w:t>
            </w:r>
          </w:p>
          <w:p w14:paraId="26A0F14E" w14:textId="77777777" w:rsidR="00DF5486" w:rsidRDefault="0005652B">
            <w:pPr>
              <w:pStyle w:val="Normal2"/>
              <w:ind w:firstLine="0"/>
              <w:jc w:val="center"/>
              <w:rPr>
                <w:sz w:val="18"/>
                <w:szCs w:val="18"/>
                <w:lang w:val="en-GB"/>
              </w:rPr>
            </w:pPr>
            <w:r>
              <w:rPr>
                <w:sz w:val="16"/>
                <w:szCs w:val="18"/>
                <w:lang w:val="en-GB"/>
              </w:rPr>
              <w:lastRenderedPageBreak/>
              <w:t>YES, AND IT IS DEMONSTRATED</w:t>
            </w:r>
          </w:p>
        </w:tc>
        <w:tc>
          <w:tcPr>
            <w:tcW w:w="4706" w:type="dxa"/>
          </w:tcPr>
          <w:p w14:paraId="07561083" w14:textId="77777777" w:rsidR="00DF5486" w:rsidRDefault="0005652B">
            <w:pPr>
              <w:pStyle w:val="Normal2"/>
              <w:ind w:firstLine="0"/>
              <w:rPr>
                <w:sz w:val="20"/>
                <w:szCs w:val="20"/>
                <w:lang w:val="en-GB"/>
              </w:rPr>
            </w:pPr>
            <w:r>
              <w:rPr>
                <w:sz w:val="20"/>
                <w:szCs w:val="20"/>
                <w:lang w:val="en-GB"/>
              </w:rPr>
              <w:lastRenderedPageBreak/>
              <w:t xml:space="preserve">If the lawfulness of the processing is based on legitimate interest, the legitimate interest must be </w:t>
            </w:r>
            <w:r>
              <w:rPr>
                <w:sz w:val="20"/>
                <w:szCs w:val="20"/>
                <w:lang w:val="en-GB"/>
              </w:rPr>
              <w:lastRenderedPageBreak/>
              <w:t>identified, which must be at least as broad as the purpose of the processing and be present and effective at the date of processing, the necessity of processing the personal data for the fulfilment of that interest must be justified, and the required balancing of interests against the rights and freedoms of data subjects, including the rights to data protection, must be carried out.</w:t>
            </w:r>
          </w:p>
        </w:tc>
      </w:tr>
      <w:tr w:rsidR="00DF5486" w:rsidRPr="00C1334D" w14:paraId="3EB74316" w14:textId="77777777">
        <w:tc>
          <w:tcPr>
            <w:tcW w:w="3940" w:type="dxa"/>
          </w:tcPr>
          <w:p w14:paraId="7CA127EF" w14:textId="77777777" w:rsidR="00DF5486" w:rsidRDefault="0005652B">
            <w:pPr>
              <w:pStyle w:val="Normal2"/>
              <w:ind w:firstLine="0"/>
              <w:rPr>
                <w:sz w:val="20"/>
                <w:szCs w:val="20"/>
                <w:lang w:val="en-GB"/>
              </w:rPr>
            </w:pPr>
            <w:r>
              <w:rPr>
                <w:sz w:val="20"/>
                <w:szCs w:val="20"/>
                <w:lang w:val="en-GB"/>
              </w:rPr>
              <w:lastRenderedPageBreak/>
              <w:t xml:space="preserve">6.6 If the lawfulness of processing is </w:t>
            </w:r>
            <w:proofErr w:type="gramStart"/>
            <w:r>
              <w:rPr>
                <w:sz w:val="20"/>
                <w:szCs w:val="20"/>
                <w:lang w:val="en-GB"/>
              </w:rPr>
              <w:t>based on the fact that</w:t>
            </w:r>
            <w:proofErr w:type="gramEnd"/>
            <w:r>
              <w:rPr>
                <w:sz w:val="20"/>
                <w:szCs w:val="20"/>
                <w:lang w:val="en-GB"/>
              </w:rPr>
              <w:t xml:space="preserve"> the processing is necessary for the performance of a task carried out in the public interest or in the exercise of official authority vested in the controller, the enabling regulation shall be specified (Art. 6.3 GDPR).</w:t>
            </w:r>
          </w:p>
        </w:tc>
        <w:tc>
          <w:tcPr>
            <w:tcW w:w="1560" w:type="dxa"/>
            <w:vAlign w:val="center"/>
          </w:tcPr>
          <w:p w14:paraId="4D85F56F" w14:textId="77777777" w:rsidR="00DF5486" w:rsidRDefault="0005652B">
            <w:pPr>
              <w:pStyle w:val="Normal2"/>
              <w:ind w:firstLine="0"/>
              <w:jc w:val="center"/>
              <w:rPr>
                <w:sz w:val="16"/>
                <w:szCs w:val="18"/>
                <w:lang w:val="en-GB"/>
              </w:rPr>
            </w:pPr>
            <w:r>
              <w:rPr>
                <w:sz w:val="16"/>
                <w:szCs w:val="18"/>
                <w:lang w:val="en-GB"/>
              </w:rPr>
              <w:t>NO</w:t>
            </w:r>
          </w:p>
          <w:p w14:paraId="272575AC" w14:textId="77777777" w:rsidR="00DF5486" w:rsidRDefault="0005652B">
            <w:pPr>
              <w:pStyle w:val="Normal2"/>
              <w:ind w:firstLine="0"/>
              <w:jc w:val="center"/>
              <w:rPr>
                <w:sz w:val="18"/>
                <w:szCs w:val="18"/>
                <w:lang w:val="en-GB"/>
              </w:rPr>
            </w:pPr>
            <w:r>
              <w:rPr>
                <w:sz w:val="16"/>
                <w:szCs w:val="18"/>
                <w:lang w:val="en-GB"/>
              </w:rPr>
              <w:t>YES, AND IT IS DEMONSTRATED</w:t>
            </w:r>
          </w:p>
        </w:tc>
        <w:tc>
          <w:tcPr>
            <w:tcW w:w="4706" w:type="dxa"/>
          </w:tcPr>
          <w:p w14:paraId="632012DC" w14:textId="77777777" w:rsidR="00DF5486" w:rsidRDefault="0005652B">
            <w:pPr>
              <w:pStyle w:val="Normal2"/>
              <w:ind w:firstLine="0"/>
              <w:rPr>
                <w:sz w:val="20"/>
                <w:szCs w:val="20"/>
                <w:lang w:val="en-GB"/>
              </w:rPr>
            </w:pPr>
            <w:r>
              <w:rPr>
                <w:sz w:val="20"/>
                <w:szCs w:val="20"/>
                <w:lang w:val="en-GB"/>
              </w:rPr>
              <w:t>The DPIA documentation shall identify the rule, the article and the text that specifically defines the purpose-of-processing authorisation, as well as the specific provisions for adapting the application of the rule to the GDPR.</w:t>
            </w:r>
          </w:p>
          <w:p w14:paraId="608077C8" w14:textId="77777777" w:rsidR="00DF5486" w:rsidRDefault="0005652B">
            <w:pPr>
              <w:pStyle w:val="Normal2"/>
              <w:ind w:firstLine="0"/>
              <w:rPr>
                <w:sz w:val="20"/>
                <w:szCs w:val="20"/>
                <w:lang w:val="en-GB"/>
              </w:rPr>
            </w:pPr>
            <w:r>
              <w:rPr>
                <w:sz w:val="20"/>
                <w:szCs w:val="20"/>
                <w:lang w:val="en-GB"/>
              </w:rPr>
              <w:t>The regulatory analysis must be complete, without providing a partial view of the regulation of only those elements that support the vision of the decision-maker.</w:t>
            </w:r>
          </w:p>
          <w:p w14:paraId="3B802925" w14:textId="77777777" w:rsidR="00DF5486" w:rsidRDefault="0005652B">
            <w:pPr>
              <w:pStyle w:val="Normal2"/>
              <w:ind w:firstLine="0"/>
              <w:rPr>
                <w:sz w:val="20"/>
                <w:szCs w:val="20"/>
                <w:lang w:val="en-GB"/>
              </w:rPr>
            </w:pPr>
            <w:r>
              <w:rPr>
                <w:sz w:val="20"/>
                <w:szCs w:val="20"/>
                <w:lang w:val="en-GB"/>
              </w:rPr>
              <w:t>This legislation will be incorporated into the analysis of the context of the DPIA during the life cycle of the processing.</w:t>
            </w:r>
          </w:p>
        </w:tc>
      </w:tr>
      <w:tr w:rsidR="00DF5486" w:rsidRPr="00C1334D" w14:paraId="1504A4B2" w14:textId="77777777">
        <w:tc>
          <w:tcPr>
            <w:tcW w:w="3940" w:type="dxa"/>
          </w:tcPr>
          <w:p w14:paraId="17958A3F" w14:textId="77777777" w:rsidR="00DF5486" w:rsidRDefault="0005652B">
            <w:pPr>
              <w:pStyle w:val="Normal2"/>
              <w:ind w:firstLine="0"/>
              <w:rPr>
                <w:sz w:val="20"/>
                <w:szCs w:val="20"/>
                <w:lang w:val="en-GB"/>
              </w:rPr>
            </w:pPr>
            <w:r>
              <w:rPr>
                <w:sz w:val="20"/>
                <w:szCs w:val="20"/>
                <w:lang w:val="en-GB"/>
              </w:rPr>
              <w:t xml:space="preserve">6.7 If the lawfulness of processing is </w:t>
            </w:r>
            <w:proofErr w:type="gramStart"/>
            <w:r>
              <w:rPr>
                <w:sz w:val="20"/>
                <w:szCs w:val="20"/>
                <w:lang w:val="en-GB"/>
              </w:rPr>
              <w:t>based on the fact that</w:t>
            </w:r>
            <w:proofErr w:type="gramEnd"/>
            <w:r>
              <w:rPr>
                <w:sz w:val="20"/>
                <w:szCs w:val="20"/>
                <w:lang w:val="en-GB"/>
              </w:rPr>
              <w:t xml:space="preserve"> the processing is necessary for compliance with a legal obligation applicable to the controller, the enabling regulation shall be specified (art. 6.3 GDPR).</w:t>
            </w:r>
          </w:p>
        </w:tc>
        <w:tc>
          <w:tcPr>
            <w:tcW w:w="1560" w:type="dxa"/>
            <w:vAlign w:val="center"/>
          </w:tcPr>
          <w:p w14:paraId="5EE551E6" w14:textId="77777777" w:rsidR="00DF5486" w:rsidRDefault="0005652B">
            <w:pPr>
              <w:pStyle w:val="Normal2"/>
              <w:ind w:firstLine="0"/>
              <w:jc w:val="center"/>
              <w:rPr>
                <w:sz w:val="16"/>
                <w:szCs w:val="18"/>
                <w:lang w:val="en-GB"/>
              </w:rPr>
            </w:pPr>
            <w:r>
              <w:rPr>
                <w:sz w:val="16"/>
                <w:szCs w:val="18"/>
                <w:lang w:val="en-GB"/>
              </w:rPr>
              <w:t>NO</w:t>
            </w:r>
          </w:p>
          <w:p w14:paraId="1E83DB8B" w14:textId="77777777" w:rsidR="00DF5486" w:rsidRDefault="0005652B">
            <w:pPr>
              <w:pStyle w:val="Normal2"/>
              <w:ind w:firstLine="0"/>
              <w:jc w:val="center"/>
              <w:rPr>
                <w:sz w:val="18"/>
                <w:szCs w:val="18"/>
                <w:lang w:val="en-GB"/>
              </w:rPr>
            </w:pPr>
            <w:r>
              <w:rPr>
                <w:sz w:val="16"/>
                <w:szCs w:val="18"/>
                <w:lang w:val="en-GB"/>
              </w:rPr>
              <w:t>YES, AND IT IS DEMONSTRATED</w:t>
            </w:r>
          </w:p>
        </w:tc>
        <w:tc>
          <w:tcPr>
            <w:tcW w:w="4706" w:type="dxa"/>
          </w:tcPr>
          <w:p w14:paraId="438A280E" w14:textId="77777777" w:rsidR="00DF5486" w:rsidRDefault="0005652B">
            <w:pPr>
              <w:pStyle w:val="Normal2"/>
              <w:ind w:firstLine="0"/>
              <w:rPr>
                <w:sz w:val="20"/>
                <w:szCs w:val="20"/>
                <w:lang w:val="en-GB"/>
              </w:rPr>
            </w:pPr>
            <w:r>
              <w:rPr>
                <w:sz w:val="20"/>
                <w:szCs w:val="20"/>
                <w:lang w:val="en-GB"/>
              </w:rPr>
              <w:t>The DPIA documentation shall identify the rule, the article and the text that specifically defines the purpose-of-processing authorisation, as well as the specific provisions for adapting the application of the rule to the GDPR.</w:t>
            </w:r>
          </w:p>
          <w:p w14:paraId="262F82A5" w14:textId="77777777" w:rsidR="00DF5486" w:rsidRDefault="0005652B">
            <w:pPr>
              <w:pStyle w:val="Normal2"/>
              <w:ind w:firstLine="0"/>
              <w:rPr>
                <w:sz w:val="20"/>
                <w:szCs w:val="20"/>
                <w:lang w:val="en-GB"/>
              </w:rPr>
            </w:pPr>
            <w:r>
              <w:rPr>
                <w:sz w:val="20"/>
                <w:szCs w:val="20"/>
                <w:lang w:val="en-GB"/>
              </w:rPr>
              <w:t>The regulatory analysis must be complete, without offering a partial view of the regulations, only those elements that serve to support the vision of the decision-maker.</w:t>
            </w:r>
          </w:p>
          <w:p w14:paraId="07B3BA74" w14:textId="77777777" w:rsidR="00DF5486" w:rsidRDefault="0005652B">
            <w:pPr>
              <w:pStyle w:val="Normal2"/>
              <w:ind w:firstLine="0"/>
              <w:rPr>
                <w:sz w:val="20"/>
                <w:szCs w:val="20"/>
                <w:lang w:val="en-GB"/>
              </w:rPr>
            </w:pPr>
            <w:r>
              <w:rPr>
                <w:sz w:val="20"/>
                <w:szCs w:val="20"/>
                <w:lang w:val="en-GB"/>
              </w:rPr>
              <w:t>This legislation will be incorporated into the analysis of the context of the DPIA during the life cycle of the processing.</w:t>
            </w:r>
          </w:p>
        </w:tc>
      </w:tr>
      <w:tr w:rsidR="00DF5486" w:rsidRPr="00C1334D" w14:paraId="5C91A2E5" w14:textId="77777777">
        <w:tc>
          <w:tcPr>
            <w:tcW w:w="3940" w:type="dxa"/>
          </w:tcPr>
          <w:p w14:paraId="6E2F0F1D" w14:textId="77777777" w:rsidR="00DF5486" w:rsidRDefault="0005652B">
            <w:pPr>
              <w:pStyle w:val="Normal2"/>
              <w:ind w:firstLine="0"/>
              <w:rPr>
                <w:sz w:val="20"/>
                <w:szCs w:val="20"/>
                <w:highlight w:val="yellow"/>
                <w:lang w:val="en-GB"/>
              </w:rPr>
            </w:pPr>
            <w:r>
              <w:rPr>
                <w:sz w:val="20"/>
                <w:szCs w:val="20"/>
                <w:lang w:val="en-GB"/>
              </w:rPr>
              <w:t>6.8 Prior to determining the legitimacy of the processing, in the event of processing special categories of data, determine the grounds for lifting the prohibition on processing such special categories of data (art. 9 GDPR) and whether it is compatible with the provisions of art. 9 LOPDGDD.</w:t>
            </w:r>
          </w:p>
        </w:tc>
        <w:tc>
          <w:tcPr>
            <w:tcW w:w="1560" w:type="dxa"/>
            <w:vAlign w:val="center"/>
          </w:tcPr>
          <w:p w14:paraId="1E63AC32" w14:textId="77777777" w:rsidR="00DF5486" w:rsidRDefault="0005652B">
            <w:pPr>
              <w:pStyle w:val="Normal2"/>
              <w:ind w:firstLine="0"/>
              <w:jc w:val="center"/>
              <w:rPr>
                <w:sz w:val="16"/>
                <w:szCs w:val="18"/>
                <w:lang w:val="en-GB"/>
              </w:rPr>
            </w:pPr>
            <w:r>
              <w:rPr>
                <w:sz w:val="16"/>
                <w:szCs w:val="18"/>
                <w:lang w:val="en-GB"/>
              </w:rPr>
              <w:t>NO</w:t>
            </w:r>
          </w:p>
          <w:p w14:paraId="70D1B9ED" w14:textId="77777777" w:rsidR="00DF5486" w:rsidRDefault="0005652B">
            <w:pPr>
              <w:pStyle w:val="Normal2"/>
              <w:ind w:firstLine="0"/>
              <w:jc w:val="center"/>
              <w:rPr>
                <w:sz w:val="18"/>
                <w:szCs w:val="18"/>
                <w:lang w:val="en-GB"/>
              </w:rPr>
            </w:pPr>
            <w:r>
              <w:rPr>
                <w:sz w:val="16"/>
                <w:szCs w:val="18"/>
                <w:lang w:val="en-GB"/>
              </w:rPr>
              <w:t>YES, AND IT IS DEMONSTRATED</w:t>
            </w:r>
          </w:p>
        </w:tc>
        <w:tc>
          <w:tcPr>
            <w:tcW w:w="4706" w:type="dxa"/>
          </w:tcPr>
          <w:p w14:paraId="38D6A90B" w14:textId="77777777" w:rsidR="00DF5486" w:rsidRDefault="0005652B">
            <w:pPr>
              <w:pStyle w:val="Normal2"/>
              <w:ind w:firstLine="0"/>
              <w:rPr>
                <w:sz w:val="20"/>
                <w:szCs w:val="20"/>
                <w:lang w:val="en-GB"/>
              </w:rPr>
            </w:pPr>
            <w:r>
              <w:rPr>
                <w:sz w:val="20"/>
                <w:szCs w:val="20"/>
                <w:lang w:val="en-GB"/>
              </w:rPr>
              <w:t>The DPIA documentation specifically and unambiguously determines that the conditions for lifting the prohibition are met, irrespective of the basis on which the processing is lawful.</w:t>
            </w:r>
          </w:p>
          <w:p w14:paraId="1E1FCCDC" w14:textId="77777777" w:rsidR="00DF5486" w:rsidRDefault="0005652B">
            <w:pPr>
              <w:pStyle w:val="Normal2"/>
              <w:ind w:firstLine="0"/>
              <w:rPr>
                <w:sz w:val="20"/>
                <w:szCs w:val="20"/>
                <w:lang w:val="en-GB"/>
              </w:rPr>
            </w:pPr>
            <w:r>
              <w:rPr>
                <w:sz w:val="20"/>
                <w:szCs w:val="20"/>
                <w:lang w:val="en-GB"/>
              </w:rPr>
              <w:t xml:space="preserve">If the lifting of the prohibition is based on a regulation, the regulation, the </w:t>
            </w:r>
            <w:proofErr w:type="gramStart"/>
            <w:r>
              <w:rPr>
                <w:sz w:val="20"/>
                <w:szCs w:val="20"/>
                <w:lang w:val="en-GB"/>
              </w:rPr>
              <w:t>article</w:t>
            </w:r>
            <w:proofErr w:type="gramEnd"/>
            <w:r>
              <w:rPr>
                <w:sz w:val="20"/>
                <w:szCs w:val="20"/>
                <w:lang w:val="en-GB"/>
              </w:rPr>
              <w:t xml:space="preserve"> and the text that specifically defines the purpose-of-processing authorisation, as well as the specific provisions for adapting the application of the rule to the GDPR shall be identified.</w:t>
            </w:r>
          </w:p>
          <w:p w14:paraId="4502E0CC" w14:textId="77777777" w:rsidR="00DF5486" w:rsidRDefault="0005652B">
            <w:pPr>
              <w:pStyle w:val="Normal2"/>
              <w:ind w:firstLine="0"/>
              <w:rPr>
                <w:sz w:val="20"/>
                <w:szCs w:val="20"/>
                <w:lang w:val="en-GB"/>
              </w:rPr>
            </w:pPr>
            <w:r>
              <w:rPr>
                <w:sz w:val="20"/>
                <w:szCs w:val="20"/>
                <w:lang w:val="en-GB"/>
              </w:rPr>
              <w:t>The regulatory analysis must be complete, without providing a partial view of the regulation of only those elements that support the vision of the decision-maker.</w:t>
            </w:r>
          </w:p>
          <w:p w14:paraId="1A76D9E3" w14:textId="77777777" w:rsidR="00DF5486" w:rsidRDefault="0005652B">
            <w:pPr>
              <w:pStyle w:val="Normal2"/>
              <w:ind w:firstLine="0"/>
              <w:rPr>
                <w:sz w:val="20"/>
                <w:szCs w:val="20"/>
                <w:lang w:val="en-GB"/>
              </w:rPr>
            </w:pPr>
            <w:r>
              <w:rPr>
                <w:sz w:val="20"/>
                <w:szCs w:val="20"/>
                <w:lang w:val="en-GB"/>
              </w:rPr>
              <w:t>This legislation will be incorporated into the analysis of the context of the DPIA during the life cycle of the processing.</w:t>
            </w:r>
          </w:p>
        </w:tc>
      </w:tr>
      <w:tr w:rsidR="00DF5486" w:rsidRPr="00C1334D" w14:paraId="4D74FFB4" w14:textId="77777777">
        <w:tc>
          <w:tcPr>
            <w:tcW w:w="3940" w:type="dxa"/>
          </w:tcPr>
          <w:p w14:paraId="5A230554" w14:textId="77777777" w:rsidR="00DF5486" w:rsidRDefault="0005652B">
            <w:pPr>
              <w:pStyle w:val="Normal2"/>
              <w:ind w:firstLine="0"/>
              <w:rPr>
                <w:sz w:val="20"/>
                <w:szCs w:val="20"/>
                <w:lang w:val="en-GB"/>
              </w:rPr>
            </w:pPr>
            <w:r>
              <w:rPr>
                <w:sz w:val="20"/>
                <w:szCs w:val="20"/>
                <w:lang w:val="en-GB"/>
              </w:rPr>
              <w:lastRenderedPageBreak/>
              <w:t>6.9 If the lifting of the prohibition on processing special categories of data is based on consent, the conditions set out in Article 7 and Recitals 32, 42 and 43 GDPR have been analysed.</w:t>
            </w:r>
          </w:p>
        </w:tc>
        <w:tc>
          <w:tcPr>
            <w:tcW w:w="1560" w:type="dxa"/>
            <w:vAlign w:val="center"/>
          </w:tcPr>
          <w:p w14:paraId="0C905510" w14:textId="77777777" w:rsidR="00DF5486" w:rsidRDefault="0005652B">
            <w:pPr>
              <w:pStyle w:val="Normal2"/>
              <w:ind w:firstLine="0"/>
              <w:jc w:val="center"/>
              <w:rPr>
                <w:sz w:val="16"/>
                <w:szCs w:val="18"/>
                <w:lang w:val="en-GB"/>
              </w:rPr>
            </w:pPr>
            <w:r>
              <w:rPr>
                <w:sz w:val="16"/>
                <w:szCs w:val="18"/>
                <w:lang w:val="en-GB"/>
              </w:rPr>
              <w:t>NO</w:t>
            </w:r>
          </w:p>
          <w:p w14:paraId="181C0FB8" w14:textId="77777777" w:rsidR="00DF5486" w:rsidRDefault="0005652B">
            <w:pPr>
              <w:pStyle w:val="Normal2"/>
              <w:ind w:firstLine="0"/>
              <w:jc w:val="center"/>
              <w:rPr>
                <w:sz w:val="18"/>
                <w:szCs w:val="18"/>
                <w:lang w:val="en-GB"/>
              </w:rPr>
            </w:pPr>
            <w:r>
              <w:rPr>
                <w:sz w:val="16"/>
                <w:szCs w:val="18"/>
                <w:lang w:val="en-GB"/>
              </w:rPr>
              <w:t>YES, AND IT IS DEMONSTRATED</w:t>
            </w:r>
          </w:p>
        </w:tc>
        <w:tc>
          <w:tcPr>
            <w:tcW w:w="4706" w:type="dxa"/>
          </w:tcPr>
          <w:p w14:paraId="0793D592" w14:textId="77777777" w:rsidR="00DF5486" w:rsidRDefault="0005652B">
            <w:pPr>
              <w:pStyle w:val="Normal2"/>
              <w:ind w:firstLine="0"/>
              <w:rPr>
                <w:sz w:val="20"/>
                <w:szCs w:val="20"/>
                <w:highlight w:val="yellow"/>
                <w:lang w:val="en-GB"/>
              </w:rPr>
            </w:pPr>
            <w:r>
              <w:rPr>
                <w:sz w:val="20"/>
                <w:szCs w:val="20"/>
                <w:lang w:val="en-GB"/>
              </w:rPr>
              <w:t xml:space="preserve">If the lifting of the prohibition on the processing of special categories of data is based on consent, the analysis of the conditions of consent required by Article 7 of the GDPR and recitals 32, 42 and 43 must be carried out. The relevant analysis must be carried out </w:t>
            </w:r>
            <w:proofErr w:type="gramStart"/>
            <w:r>
              <w:rPr>
                <w:sz w:val="20"/>
                <w:szCs w:val="20"/>
                <w:lang w:val="en-GB"/>
              </w:rPr>
              <w:t>in order to</w:t>
            </w:r>
            <w:proofErr w:type="gramEnd"/>
            <w:r>
              <w:rPr>
                <w:sz w:val="20"/>
                <w:szCs w:val="20"/>
                <w:lang w:val="en-GB"/>
              </w:rPr>
              <w:t xml:space="preserve"> ensure and demonstrate that the consent is specific, unambiguous, free and informed, demonstrating, for example, the absence of asymmetries and the full freedom and knowledge of the data subject at the time of giving consent</w:t>
            </w:r>
          </w:p>
        </w:tc>
      </w:tr>
      <w:tr w:rsidR="00DF5486" w:rsidRPr="00C1334D" w14:paraId="64545724" w14:textId="77777777">
        <w:tc>
          <w:tcPr>
            <w:tcW w:w="3940" w:type="dxa"/>
          </w:tcPr>
          <w:p w14:paraId="1C82890A" w14:textId="77777777" w:rsidR="00DF5486" w:rsidRDefault="0005652B">
            <w:pPr>
              <w:pStyle w:val="Normal2"/>
              <w:ind w:firstLine="0"/>
              <w:rPr>
                <w:b/>
                <w:bCs/>
                <w:sz w:val="20"/>
                <w:szCs w:val="20"/>
                <w:lang w:val="en-GB"/>
              </w:rPr>
            </w:pPr>
            <w:r>
              <w:rPr>
                <w:sz w:val="20"/>
                <w:szCs w:val="20"/>
                <w:lang w:val="en-GB"/>
              </w:rPr>
              <w:t>6.10 There is clear identification of the data controller (art. 36.3.a GDPR).</w:t>
            </w:r>
          </w:p>
        </w:tc>
        <w:tc>
          <w:tcPr>
            <w:tcW w:w="1560" w:type="dxa"/>
            <w:vAlign w:val="center"/>
          </w:tcPr>
          <w:p w14:paraId="56D006A5" w14:textId="77777777" w:rsidR="00DF5486" w:rsidRDefault="0005652B">
            <w:pPr>
              <w:pStyle w:val="Normal2"/>
              <w:ind w:firstLine="0"/>
              <w:jc w:val="center"/>
              <w:rPr>
                <w:sz w:val="16"/>
                <w:szCs w:val="18"/>
                <w:lang w:val="en-GB"/>
              </w:rPr>
            </w:pPr>
            <w:r>
              <w:rPr>
                <w:sz w:val="16"/>
                <w:szCs w:val="18"/>
                <w:lang w:val="en-GB"/>
              </w:rPr>
              <w:t>NO</w:t>
            </w:r>
          </w:p>
          <w:p w14:paraId="059BC2C2" w14:textId="77777777" w:rsidR="00DF5486" w:rsidRDefault="0005652B">
            <w:pPr>
              <w:pStyle w:val="Normal2"/>
              <w:ind w:firstLine="0"/>
              <w:jc w:val="center"/>
              <w:rPr>
                <w:sz w:val="18"/>
                <w:szCs w:val="18"/>
                <w:lang w:val="en-GB"/>
              </w:rPr>
            </w:pPr>
            <w:r>
              <w:rPr>
                <w:sz w:val="16"/>
                <w:szCs w:val="18"/>
                <w:lang w:val="en-GB"/>
              </w:rPr>
              <w:t>YES, AND IT IS DEMONSTRATED</w:t>
            </w:r>
          </w:p>
        </w:tc>
        <w:tc>
          <w:tcPr>
            <w:tcW w:w="4706" w:type="dxa"/>
          </w:tcPr>
          <w:p w14:paraId="438B45A6" w14:textId="77777777" w:rsidR="00DF5486" w:rsidRDefault="0005652B">
            <w:pPr>
              <w:pStyle w:val="Normal2"/>
              <w:ind w:firstLine="0"/>
              <w:rPr>
                <w:sz w:val="20"/>
                <w:szCs w:val="20"/>
                <w:lang w:val="en-GB"/>
              </w:rPr>
            </w:pPr>
            <w:r>
              <w:rPr>
                <w:sz w:val="20"/>
                <w:szCs w:val="20"/>
                <w:lang w:val="en-GB"/>
              </w:rPr>
              <w:t>The identification of the controller(s) shall be included in the documentation of the DPIA, in case of co-responsibility.</w:t>
            </w:r>
          </w:p>
          <w:p w14:paraId="50FBBB7C" w14:textId="77777777" w:rsidR="00DF5486" w:rsidRDefault="0005652B">
            <w:pPr>
              <w:pStyle w:val="Normal2"/>
              <w:ind w:firstLine="0"/>
              <w:rPr>
                <w:sz w:val="20"/>
                <w:szCs w:val="20"/>
                <w:lang w:val="en-GB"/>
              </w:rPr>
            </w:pPr>
            <w:r>
              <w:rPr>
                <w:sz w:val="20"/>
                <w:szCs w:val="20"/>
                <w:lang w:val="en-GB"/>
              </w:rPr>
              <w:t>The purposes and means, if any, determined by each of the responsible parties should be indicated.</w:t>
            </w:r>
          </w:p>
        </w:tc>
      </w:tr>
      <w:tr w:rsidR="00DF5486" w:rsidRPr="00C1334D" w14:paraId="69FC1583" w14:textId="77777777">
        <w:tc>
          <w:tcPr>
            <w:tcW w:w="3940" w:type="dxa"/>
          </w:tcPr>
          <w:p w14:paraId="129FEAC7" w14:textId="77777777" w:rsidR="00DF5486" w:rsidRDefault="0005652B">
            <w:pPr>
              <w:pStyle w:val="Normal2"/>
              <w:ind w:firstLine="0"/>
              <w:rPr>
                <w:sz w:val="20"/>
                <w:szCs w:val="20"/>
                <w:lang w:val="en-GB"/>
              </w:rPr>
            </w:pPr>
            <w:r>
              <w:rPr>
                <w:sz w:val="20"/>
                <w:szCs w:val="20"/>
                <w:lang w:val="en-GB"/>
              </w:rPr>
              <w:t>6.11 Where applicable, there is an agreement or legal act between the joint controllers involved or third parties involved in the processing (Arts. 26, 27 and 28 GDPR).</w:t>
            </w:r>
          </w:p>
        </w:tc>
        <w:tc>
          <w:tcPr>
            <w:tcW w:w="1560" w:type="dxa"/>
            <w:vAlign w:val="center"/>
          </w:tcPr>
          <w:p w14:paraId="1BFEA0F2" w14:textId="77777777" w:rsidR="00DF5486" w:rsidRDefault="0005652B">
            <w:pPr>
              <w:pStyle w:val="Normal2"/>
              <w:ind w:firstLine="0"/>
              <w:jc w:val="center"/>
              <w:rPr>
                <w:sz w:val="16"/>
                <w:szCs w:val="18"/>
                <w:lang w:val="en-GB"/>
              </w:rPr>
            </w:pPr>
            <w:r>
              <w:rPr>
                <w:sz w:val="16"/>
                <w:szCs w:val="18"/>
                <w:lang w:val="en-GB"/>
              </w:rPr>
              <w:t>NO</w:t>
            </w:r>
          </w:p>
          <w:p w14:paraId="127136CA" w14:textId="77777777" w:rsidR="00DF5486" w:rsidRDefault="0005652B">
            <w:pPr>
              <w:pStyle w:val="Normal2"/>
              <w:ind w:firstLine="0"/>
              <w:jc w:val="center"/>
              <w:rPr>
                <w:sz w:val="18"/>
                <w:szCs w:val="18"/>
                <w:lang w:val="en-GB"/>
              </w:rPr>
            </w:pPr>
            <w:r>
              <w:rPr>
                <w:sz w:val="16"/>
                <w:szCs w:val="18"/>
                <w:lang w:val="en-GB"/>
              </w:rPr>
              <w:t>YES, AND IT IS DEMONSTRATED</w:t>
            </w:r>
          </w:p>
        </w:tc>
        <w:tc>
          <w:tcPr>
            <w:tcW w:w="4706" w:type="dxa"/>
          </w:tcPr>
          <w:p w14:paraId="1C4F92D1" w14:textId="77777777" w:rsidR="00DF5486" w:rsidRDefault="0005652B">
            <w:pPr>
              <w:pStyle w:val="Normal2"/>
              <w:ind w:firstLine="0"/>
              <w:rPr>
                <w:sz w:val="20"/>
                <w:szCs w:val="20"/>
                <w:lang w:val="en-GB"/>
              </w:rPr>
            </w:pPr>
            <w:r>
              <w:rPr>
                <w:sz w:val="20"/>
                <w:szCs w:val="20"/>
                <w:lang w:val="en-GB"/>
              </w:rPr>
              <w:t xml:space="preserve">The documentation of the DPIA shall include details of the legal agreement between the co-responsible parties involved or third parties involved with identification of respective responsibilities, </w:t>
            </w:r>
            <w:proofErr w:type="gramStart"/>
            <w:r>
              <w:rPr>
                <w:sz w:val="20"/>
                <w:szCs w:val="20"/>
                <w:lang w:val="en-GB"/>
              </w:rPr>
              <w:t>in particular as</w:t>
            </w:r>
            <w:proofErr w:type="gramEnd"/>
            <w:r>
              <w:rPr>
                <w:sz w:val="20"/>
                <w:szCs w:val="20"/>
                <w:lang w:val="en-GB"/>
              </w:rPr>
              <w:t xml:space="preserve"> regards the exercise of rights and reporting obligations.</w:t>
            </w:r>
          </w:p>
          <w:p w14:paraId="33C00E94" w14:textId="77777777" w:rsidR="00DF5486" w:rsidRDefault="0005652B">
            <w:pPr>
              <w:pStyle w:val="Normal2"/>
              <w:ind w:firstLine="0"/>
              <w:rPr>
                <w:sz w:val="20"/>
                <w:szCs w:val="20"/>
                <w:lang w:val="en-GB"/>
              </w:rPr>
            </w:pPr>
            <w:r>
              <w:rPr>
                <w:sz w:val="20"/>
                <w:szCs w:val="20"/>
                <w:lang w:val="en-GB"/>
              </w:rPr>
              <w:t>Where applicable, the rule covering the co-responsibility or involvement of the third parties involved in the processing.</w:t>
            </w:r>
          </w:p>
        </w:tc>
      </w:tr>
      <w:tr w:rsidR="00DF5486" w:rsidRPr="00C1334D" w14:paraId="5645CBB3" w14:textId="77777777">
        <w:tc>
          <w:tcPr>
            <w:tcW w:w="3940" w:type="dxa"/>
          </w:tcPr>
          <w:p w14:paraId="06D222F4" w14:textId="77777777" w:rsidR="00DF5486" w:rsidRDefault="0005652B">
            <w:pPr>
              <w:pStyle w:val="Normal2"/>
              <w:ind w:firstLine="0"/>
              <w:rPr>
                <w:sz w:val="20"/>
                <w:szCs w:val="20"/>
                <w:lang w:val="en-GB"/>
              </w:rPr>
            </w:pPr>
            <w:r>
              <w:rPr>
                <w:sz w:val="20"/>
                <w:szCs w:val="20"/>
                <w:lang w:val="en-GB"/>
              </w:rPr>
              <w:t>6.12 Processors and the contracts or other legal acts linking them to the controller or co-responsible parties are identified (Art. 28 GDPR).</w:t>
            </w:r>
          </w:p>
        </w:tc>
        <w:tc>
          <w:tcPr>
            <w:tcW w:w="1560" w:type="dxa"/>
            <w:vAlign w:val="center"/>
          </w:tcPr>
          <w:p w14:paraId="46938E62" w14:textId="77777777" w:rsidR="00DF5486" w:rsidRDefault="0005652B">
            <w:pPr>
              <w:pStyle w:val="Normal2"/>
              <w:ind w:firstLine="0"/>
              <w:jc w:val="center"/>
              <w:rPr>
                <w:sz w:val="16"/>
                <w:szCs w:val="18"/>
                <w:lang w:val="en-GB"/>
              </w:rPr>
            </w:pPr>
            <w:r>
              <w:rPr>
                <w:sz w:val="16"/>
                <w:szCs w:val="18"/>
                <w:lang w:val="en-GB"/>
              </w:rPr>
              <w:t>NO</w:t>
            </w:r>
          </w:p>
          <w:p w14:paraId="25CA11BB" w14:textId="77777777" w:rsidR="00DF5486" w:rsidRDefault="0005652B">
            <w:pPr>
              <w:pStyle w:val="Normal2"/>
              <w:ind w:firstLine="0"/>
              <w:jc w:val="center"/>
              <w:rPr>
                <w:sz w:val="18"/>
                <w:szCs w:val="18"/>
                <w:lang w:val="en-GB"/>
              </w:rPr>
            </w:pPr>
            <w:r>
              <w:rPr>
                <w:sz w:val="16"/>
                <w:szCs w:val="18"/>
                <w:lang w:val="en-GB"/>
              </w:rPr>
              <w:t>YES, AND IT IS DEMONSTRATED</w:t>
            </w:r>
          </w:p>
        </w:tc>
        <w:tc>
          <w:tcPr>
            <w:tcW w:w="4706" w:type="dxa"/>
          </w:tcPr>
          <w:p w14:paraId="5416FB63" w14:textId="77777777" w:rsidR="00DF5486" w:rsidRDefault="0005652B">
            <w:pPr>
              <w:pStyle w:val="Normal2"/>
              <w:ind w:firstLine="0"/>
              <w:rPr>
                <w:sz w:val="20"/>
                <w:szCs w:val="20"/>
                <w:lang w:val="en-GB"/>
              </w:rPr>
            </w:pPr>
            <w:r>
              <w:rPr>
                <w:sz w:val="20"/>
                <w:szCs w:val="20"/>
                <w:lang w:val="en-GB"/>
              </w:rPr>
              <w:t xml:space="preserve">The identification of the processor(s) shall be taken into account in relation to each of the purposes and processing operations that may be carried out during the </w:t>
            </w:r>
            <w:proofErr w:type="gramStart"/>
            <w:r>
              <w:rPr>
                <w:sz w:val="20"/>
                <w:szCs w:val="20"/>
                <w:lang w:val="en-GB"/>
              </w:rPr>
              <w:t>life-cycle</w:t>
            </w:r>
            <w:proofErr w:type="gramEnd"/>
            <w:r>
              <w:rPr>
                <w:sz w:val="20"/>
                <w:szCs w:val="20"/>
                <w:lang w:val="en-GB"/>
              </w:rPr>
              <w:t xml:space="preserve"> of the data.</w:t>
            </w:r>
          </w:p>
          <w:p w14:paraId="10B6F79C" w14:textId="77777777" w:rsidR="00DF5486" w:rsidRDefault="0005652B">
            <w:pPr>
              <w:pStyle w:val="Normal2"/>
              <w:ind w:firstLine="0"/>
              <w:rPr>
                <w:sz w:val="20"/>
                <w:szCs w:val="20"/>
                <w:lang w:val="en-GB"/>
              </w:rPr>
            </w:pPr>
            <w:r>
              <w:rPr>
                <w:sz w:val="20"/>
                <w:szCs w:val="20"/>
                <w:lang w:val="en-GB"/>
              </w:rPr>
              <w:t>This should include details of the legal link between controllers and processors, as well as between the other entities that may be involved in the processing, and an explanation of the care taken in the selection of processors or those involved in the processing.</w:t>
            </w:r>
          </w:p>
        </w:tc>
      </w:tr>
      <w:tr w:rsidR="00DF5486" w:rsidRPr="00C1334D" w14:paraId="6F909D8F" w14:textId="77777777">
        <w:tc>
          <w:tcPr>
            <w:tcW w:w="3940" w:type="dxa"/>
          </w:tcPr>
          <w:p w14:paraId="4EA47C6D" w14:textId="77777777" w:rsidR="00DF5486" w:rsidRDefault="0005652B">
            <w:pPr>
              <w:pStyle w:val="Normal2"/>
              <w:ind w:firstLine="0"/>
              <w:rPr>
                <w:sz w:val="20"/>
                <w:szCs w:val="20"/>
                <w:lang w:val="en-GB"/>
              </w:rPr>
            </w:pPr>
            <w:r>
              <w:rPr>
                <w:sz w:val="20"/>
                <w:szCs w:val="20"/>
                <w:lang w:val="en-GB"/>
              </w:rPr>
              <w:t>6.13 Adequate legal safeguards are in place to ensure that controllers are consulted by processors before engaging sub-processors or third parties involved in the processing (Arts. 28.2 and 36.3.a GDPR).</w:t>
            </w:r>
          </w:p>
        </w:tc>
        <w:tc>
          <w:tcPr>
            <w:tcW w:w="1560" w:type="dxa"/>
            <w:vAlign w:val="center"/>
          </w:tcPr>
          <w:p w14:paraId="174638BE" w14:textId="77777777" w:rsidR="00DF5486" w:rsidRDefault="0005652B">
            <w:pPr>
              <w:pStyle w:val="Normal2"/>
              <w:ind w:firstLine="0"/>
              <w:jc w:val="center"/>
              <w:rPr>
                <w:sz w:val="16"/>
                <w:szCs w:val="18"/>
                <w:lang w:val="en-GB"/>
              </w:rPr>
            </w:pPr>
            <w:r>
              <w:rPr>
                <w:sz w:val="16"/>
                <w:szCs w:val="18"/>
                <w:lang w:val="en-GB"/>
              </w:rPr>
              <w:t>NO</w:t>
            </w:r>
          </w:p>
          <w:p w14:paraId="7BFB8E03" w14:textId="77777777" w:rsidR="00DF5486" w:rsidRDefault="0005652B">
            <w:pPr>
              <w:pStyle w:val="Normal2"/>
              <w:ind w:firstLine="0"/>
              <w:jc w:val="center"/>
              <w:rPr>
                <w:sz w:val="18"/>
                <w:szCs w:val="18"/>
                <w:lang w:val="en-GB"/>
              </w:rPr>
            </w:pPr>
            <w:r>
              <w:rPr>
                <w:sz w:val="16"/>
                <w:szCs w:val="18"/>
                <w:lang w:val="en-GB"/>
              </w:rPr>
              <w:t>YES, AND IT IS DEMONSTRATED</w:t>
            </w:r>
          </w:p>
        </w:tc>
        <w:tc>
          <w:tcPr>
            <w:tcW w:w="4706" w:type="dxa"/>
          </w:tcPr>
          <w:p w14:paraId="7C8403BE" w14:textId="77777777" w:rsidR="00DF5486" w:rsidRDefault="0005652B">
            <w:pPr>
              <w:pStyle w:val="Normal2"/>
              <w:ind w:firstLine="0"/>
              <w:rPr>
                <w:sz w:val="20"/>
                <w:szCs w:val="20"/>
                <w:lang w:val="en-GB"/>
              </w:rPr>
            </w:pPr>
            <w:r>
              <w:rPr>
                <w:sz w:val="20"/>
                <w:szCs w:val="20"/>
                <w:lang w:val="en-GB"/>
              </w:rPr>
              <w:t>The controller-processor legal link shall incorporate the obligation of the processor to consult with the controller before delegating the hiring of sub-processors or the involvement in the processing of any other involved third party.</w:t>
            </w:r>
          </w:p>
        </w:tc>
      </w:tr>
      <w:tr w:rsidR="00DF5486" w:rsidRPr="00C1334D" w14:paraId="728FBF9E" w14:textId="77777777">
        <w:tc>
          <w:tcPr>
            <w:tcW w:w="3940" w:type="dxa"/>
          </w:tcPr>
          <w:p w14:paraId="19F97BCD" w14:textId="77777777" w:rsidR="00DF5486" w:rsidRDefault="0005652B">
            <w:pPr>
              <w:pStyle w:val="Normal2"/>
              <w:ind w:firstLine="0"/>
              <w:rPr>
                <w:b/>
                <w:bCs/>
                <w:sz w:val="20"/>
                <w:szCs w:val="20"/>
                <w:lang w:val="en-GB"/>
              </w:rPr>
            </w:pPr>
            <w:r>
              <w:rPr>
                <w:sz w:val="20"/>
                <w:szCs w:val="20"/>
                <w:lang w:val="en-GB"/>
              </w:rPr>
              <w:t>6.14 Measures have been established that allow the responsible party to guarantee and demonstrate compliance with the provisions of the GDPR and LOPDGDD (Arts. 5.2, 24 to 36, and Recital 90 GDPR, WP248).</w:t>
            </w:r>
          </w:p>
        </w:tc>
        <w:tc>
          <w:tcPr>
            <w:tcW w:w="1560" w:type="dxa"/>
            <w:vAlign w:val="center"/>
          </w:tcPr>
          <w:p w14:paraId="130F1CE6" w14:textId="77777777" w:rsidR="00DF5486" w:rsidRDefault="0005652B">
            <w:pPr>
              <w:pStyle w:val="Normal2"/>
              <w:ind w:firstLine="0"/>
              <w:jc w:val="center"/>
              <w:rPr>
                <w:sz w:val="16"/>
                <w:szCs w:val="18"/>
                <w:lang w:val="en-GB"/>
              </w:rPr>
            </w:pPr>
            <w:r>
              <w:rPr>
                <w:sz w:val="16"/>
                <w:szCs w:val="18"/>
                <w:lang w:val="en-GB"/>
              </w:rPr>
              <w:t>NO</w:t>
            </w:r>
          </w:p>
          <w:p w14:paraId="45D46A96" w14:textId="77777777" w:rsidR="00DF5486" w:rsidRDefault="0005652B">
            <w:pPr>
              <w:pStyle w:val="Normal2"/>
              <w:ind w:firstLine="0"/>
              <w:jc w:val="center"/>
              <w:rPr>
                <w:sz w:val="18"/>
                <w:szCs w:val="18"/>
                <w:lang w:val="en-GB"/>
              </w:rPr>
            </w:pPr>
            <w:r>
              <w:rPr>
                <w:sz w:val="16"/>
                <w:szCs w:val="18"/>
                <w:lang w:val="en-GB"/>
              </w:rPr>
              <w:t>YES, AND IT IS DEMONSTRATED</w:t>
            </w:r>
          </w:p>
        </w:tc>
        <w:tc>
          <w:tcPr>
            <w:tcW w:w="4706" w:type="dxa"/>
          </w:tcPr>
          <w:p w14:paraId="0109DDD4" w14:textId="77777777" w:rsidR="00DF5486" w:rsidRDefault="0005652B">
            <w:pPr>
              <w:pStyle w:val="Normal2"/>
              <w:ind w:firstLine="0"/>
              <w:rPr>
                <w:sz w:val="20"/>
                <w:szCs w:val="20"/>
                <w:lang w:val="en-GB"/>
              </w:rPr>
            </w:pPr>
            <w:r>
              <w:rPr>
                <w:sz w:val="20"/>
                <w:szCs w:val="20"/>
                <w:lang w:val="en-GB"/>
              </w:rPr>
              <w:t>The DPIA documentation shall include information demonstrating the implementation of proactive accountability measures and safeguards (</w:t>
            </w:r>
            <w:proofErr w:type="gramStart"/>
            <w:r>
              <w:rPr>
                <w:sz w:val="20"/>
                <w:szCs w:val="20"/>
                <w:lang w:val="en-GB"/>
              </w:rPr>
              <w:t>e.g.</w:t>
            </w:r>
            <w:proofErr w:type="gramEnd"/>
            <w:r>
              <w:rPr>
                <w:sz w:val="20"/>
                <w:szCs w:val="20"/>
                <w:lang w:val="en-GB"/>
              </w:rPr>
              <w:t xml:space="preserve"> governance, nature of implementation, policies, data protection by design, data protection by default, security measures and personal data breach management).</w:t>
            </w:r>
          </w:p>
        </w:tc>
      </w:tr>
      <w:tr w:rsidR="00DF5486" w:rsidRPr="00C1334D" w14:paraId="6D6C653C" w14:textId="77777777">
        <w:tc>
          <w:tcPr>
            <w:tcW w:w="3940" w:type="dxa"/>
          </w:tcPr>
          <w:p w14:paraId="0FB6F3AF" w14:textId="77777777" w:rsidR="00DF5486" w:rsidRDefault="0005652B">
            <w:pPr>
              <w:pStyle w:val="Normal2"/>
              <w:ind w:firstLine="0"/>
              <w:rPr>
                <w:sz w:val="20"/>
                <w:szCs w:val="20"/>
                <w:lang w:val="en-GB"/>
              </w:rPr>
            </w:pPr>
            <w:r>
              <w:rPr>
                <w:sz w:val="20"/>
                <w:szCs w:val="20"/>
                <w:lang w:val="en-GB"/>
              </w:rPr>
              <w:lastRenderedPageBreak/>
              <w:t>6.15 The legal link established between controllers, processors and sub-controllers specifies and defines the proactive liability measures and guarantees to be implemented by the processor and the monitoring mechanisms (Arts. 35.7.d and 36.3.a GDPR).</w:t>
            </w:r>
          </w:p>
        </w:tc>
        <w:tc>
          <w:tcPr>
            <w:tcW w:w="1560" w:type="dxa"/>
            <w:vAlign w:val="center"/>
          </w:tcPr>
          <w:p w14:paraId="78AF3326" w14:textId="77777777" w:rsidR="00DF5486" w:rsidRDefault="0005652B">
            <w:pPr>
              <w:pStyle w:val="Normal2"/>
              <w:ind w:firstLine="0"/>
              <w:jc w:val="center"/>
              <w:rPr>
                <w:sz w:val="16"/>
                <w:szCs w:val="18"/>
                <w:lang w:val="en-GB"/>
              </w:rPr>
            </w:pPr>
            <w:r>
              <w:rPr>
                <w:sz w:val="16"/>
                <w:szCs w:val="18"/>
                <w:lang w:val="en-GB"/>
              </w:rPr>
              <w:t>NO</w:t>
            </w:r>
          </w:p>
          <w:p w14:paraId="744A29F2" w14:textId="77777777" w:rsidR="00DF5486" w:rsidRDefault="0005652B">
            <w:pPr>
              <w:pStyle w:val="Normal2"/>
              <w:ind w:firstLine="0"/>
              <w:jc w:val="center"/>
              <w:rPr>
                <w:sz w:val="18"/>
                <w:szCs w:val="18"/>
                <w:lang w:val="en-GB"/>
              </w:rPr>
            </w:pPr>
            <w:r>
              <w:rPr>
                <w:sz w:val="16"/>
                <w:szCs w:val="18"/>
                <w:lang w:val="en-GB"/>
              </w:rPr>
              <w:t>YES, AND IT IS DEMONSTRATED</w:t>
            </w:r>
          </w:p>
        </w:tc>
        <w:tc>
          <w:tcPr>
            <w:tcW w:w="4706" w:type="dxa"/>
          </w:tcPr>
          <w:p w14:paraId="5C380D8B" w14:textId="77777777" w:rsidR="00DF5486" w:rsidRDefault="0005652B">
            <w:pPr>
              <w:pStyle w:val="Normal2"/>
              <w:ind w:firstLine="0"/>
              <w:rPr>
                <w:sz w:val="20"/>
                <w:szCs w:val="20"/>
                <w:lang w:val="en-GB"/>
              </w:rPr>
            </w:pPr>
            <w:r>
              <w:rPr>
                <w:sz w:val="20"/>
                <w:szCs w:val="20"/>
                <w:lang w:val="en-GB"/>
              </w:rPr>
              <w:t>If there are processors and sub-processors, the legal link between the controller and a processor should reflect the obligations of the processor and any sub-processors in relation to the application of the proactive accountability measures and safeguards (governance, nature of implementation, policies, data protection by design, by default, security measures and personal data breach management, among others) identified by the controller.</w:t>
            </w:r>
          </w:p>
        </w:tc>
      </w:tr>
      <w:tr w:rsidR="00DF5486" w:rsidRPr="00C1334D" w14:paraId="2F9C6F9E" w14:textId="77777777">
        <w:tc>
          <w:tcPr>
            <w:tcW w:w="3940" w:type="dxa"/>
          </w:tcPr>
          <w:p w14:paraId="7274A388" w14:textId="77777777" w:rsidR="00DF5486" w:rsidRDefault="0005652B">
            <w:pPr>
              <w:pStyle w:val="Normal2"/>
              <w:ind w:firstLine="0"/>
              <w:rPr>
                <w:sz w:val="20"/>
                <w:szCs w:val="20"/>
                <w:highlight w:val="yellow"/>
                <w:lang w:val="en-GB"/>
              </w:rPr>
            </w:pPr>
            <w:r>
              <w:rPr>
                <w:sz w:val="20"/>
                <w:szCs w:val="20"/>
                <w:lang w:val="en-GB"/>
              </w:rPr>
              <w:t>6.16 The obligations to inform data subjects (Arts. 12, 13 and 14 GDPR) are complied with.</w:t>
            </w:r>
          </w:p>
        </w:tc>
        <w:tc>
          <w:tcPr>
            <w:tcW w:w="1560" w:type="dxa"/>
            <w:vAlign w:val="center"/>
          </w:tcPr>
          <w:p w14:paraId="7FB2989B" w14:textId="77777777" w:rsidR="00DF5486" w:rsidRDefault="0005652B">
            <w:pPr>
              <w:pStyle w:val="Normal2"/>
              <w:ind w:firstLine="0"/>
              <w:jc w:val="center"/>
              <w:rPr>
                <w:sz w:val="16"/>
                <w:szCs w:val="18"/>
                <w:lang w:val="en-GB"/>
              </w:rPr>
            </w:pPr>
            <w:r>
              <w:rPr>
                <w:sz w:val="16"/>
                <w:szCs w:val="18"/>
                <w:lang w:val="en-GB"/>
              </w:rPr>
              <w:t>NO</w:t>
            </w:r>
          </w:p>
          <w:p w14:paraId="01956A6C" w14:textId="77777777" w:rsidR="00DF5486" w:rsidRDefault="0005652B">
            <w:pPr>
              <w:pStyle w:val="Normal2"/>
              <w:ind w:firstLine="0"/>
              <w:jc w:val="center"/>
              <w:rPr>
                <w:sz w:val="18"/>
                <w:szCs w:val="18"/>
                <w:lang w:val="en-GB"/>
              </w:rPr>
            </w:pPr>
            <w:r>
              <w:rPr>
                <w:sz w:val="16"/>
                <w:szCs w:val="18"/>
                <w:lang w:val="en-GB"/>
              </w:rPr>
              <w:t>YES, AND IT IS DEMONSTRATED</w:t>
            </w:r>
          </w:p>
        </w:tc>
        <w:tc>
          <w:tcPr>
            <w:tcW w:w="4706" w:type="dxa"/>
          </w:tcPr>
          <w:p w14:paraId="5C206B4D" w14:textId="77777777" w:rsidR="00DF5486" w:rsidRDefault="0005652B">
            <w:pPr>
              <w:pStyle w:val="Normal2"/>
              <w:ind w:firstLine="0"/>
              <w:rPr>
                <w:sz w:val="20"/>
                <w:szCs w:val="20"/>
                <w:lang w:val="en-GB"/>
              </w:rPr>
            </w:pPr>
            <w:r>
              <w:rPr>
                <w:sz w:val="20"/>
                <w:szCs w:val="20"/>
                <w:lang w:val="en-GB"/>
              </w:rPr>
              <w:t>The EPIA documentation shall identify the procedures used to address the obligation to inform data subjects, including the transparency mechanisms and the policies for informing data subjects that may be applicable in each case or justify the exemption from the obligation to inform.</w:t>
            </w:r>
          </w:p>
          <w:p w14:paraId="62C16068" w14:textId="77777777" w:rsidR="00DF5486" w:rsidRDefault="0005652B">
            <w:pPr>
              <w:pStyle w:val="Normal2"/>
              <w:ind w:firstLine="0"/>
              <w:rPr>
                <w:sz w:val="20"/>
                <w:szCs w:val="20"/>
                <w:lang w:val="en-GB"/>
              </w:rPr>
            </w:pPr>
            <w:r>
              <w:rPr>
                <w:sz w:val="20"/>
                <w:szCs w:val="20"/>
                <w:lang w:val="en-GB"/>
              </w:rPr>
              <w:t xml:space="preserve">For more information, you can use the AEPD's </w:t>
            </w:r>
            <w:r w:rsidR="0017413E">
              <w:fldChar w:fldCharType="begin"/>
            </w:r>
            <w:r w:rsidR="0017413E" w:rsidRPr="00C1334D">
              <w:rPr>
                <w:lang w:val="en-US"/>
              </w:rPr>
              <w:instrText xml:space="preserve"> HYPERLINK "https://www.aepd.es/sites/default/files/2019-09/guia-modelo-clausula-informativa.pdf" \h </w:instrText>
            </w:r>
            <w:r w:rsidR="0017413E">
              <w:fldChar w:fldCharType="separate"/>
            </w:r>
            <w:r>
              <w:rPr>
                <w:rStyle w:val="EnlacedeInternet"/>
                <w:color w:val="auto"/>
                <w:sz w:val="20"/>
                <w:szCs w:val="20"/>
                <w:lang w:val="en-GB"/>
              </w:rPr>
              <w:t>Guide for compliance with the duty to inform.</w:t>
            </w:r>
            <w:r w:rsidR="0017413E">
              <w:rPr>
                <w:rStyle w:val="EnlacedeInternet"/>
                <w:color w:val="auto"/>
                <w:sz w:val="20"/>
                <w:szCs w:val="20"/>
                <w:lang w:val="en-GB"/>
              </w:rPr>
              <w:fldChar w:fldCharType="end"/>
            </w:r>
          </w:p>
        </w:tc>
      </w:tr>
      <w:tr w:rsidR="00DF5486" w:rsidRPr="00C1334D" w14:paraId="30054078" w14:textId="77777777">
        <w:tc>
          <w:tcPr>
            <w:tcW w:w="3940" w:type="dxa"/>
          </w:tcPr>
          <w:p w14:paraId="1F72C137" w14:textId="77777777" w:rsidR="00DF5486" w:rsidRDefault="0005652B">
            <w:pPr>
              <w:pStyle w:val="Normal2"/>
              <w:ind w:firstLine="0"/>
              <w:rPr>
                <w:sz w:val="20"/>
                <w:szCs w:val="20"/>
                <w:lang w:val="en-GB"/>
              </w:rPr>
            </w:pPr>
            <w:r>
              <w:rPr>
                <w:sz w:val="20"/>
                <w:szCs w:val="20"/>
                <w:lang w:val="en-GB"/>
              </w:rPr>
              <w:t xml:space="preserve">6.17 Procedures are in place to guarantee the rights of data subjects: access, rectification, erasure, restriction of processing, portability, </w:t>
            </w:r>
            <w:proofErr w:type="gramStart"/>
            <w:r>
              <w:rPr>
                <w:sz w:val="20"/>
                <w:szCs w:val="20"/>
                <w:lang w:val="en-GB"/>
              </w:rPr>
              <w:t>objection</w:t>
            </w:r>
            <w:proofErr w:type="gramEnd"/>
            <w:r>
              <w:rPr>
                <w:sz w:val="20"/>
                <w:szCs w:val="20"/>
                <w:lang w:val="en-GB"/>
              </w:rPr>
              <w:t xml:space="preserve"> and those corresponding to possible automated individual decisions (Arts. 15-20 GDPR).</w:t>
            </w:r>
          </w:p>
        </w:tc>
        <w:tc>
          <w:tcPr>
            <w:tcW w:w="1560" w:type="dxa"/>
            <w:vAlign w:val="center"/>
          </w:tcPr>
          <w:p w14:paraId="106B1308" w14:textId="77777777" w:rsidR="00DF5486" w:rsidRDefault="0005652B">
            <w:pPr>
              <w:pStyle w:val="Normal2"/>
              <w:ind w:firstLine="0"/>
              <w:jc w:val="center"/>
              <w:rPr>
                <w:sz w:val="16"/>
                <w:szCs w:val="18"/>
                <w:lang w:val="en-GB"/>
              </w:rPr>
            </w:pPr>
            <w:r>
              <w:rPr>
                <w:sz w:val="16"/>
                <w:szCs w:val="18"/>
                <w:lang w:val="en-GB"/>
              </w:rPr>
              <w:t>NO</w:t>
            </w:r>
          </w:p>
          <w:p w14:paraId="76C5C849" w14:textId="77777777" w:rsidR="00DF5486" w:rsidRDefault="0005652B">
            <w:pPr>
              <w:pStyle w:val="Normal2"/>
              <w:ind w:firstLine="0"/>
              <w:jc w:val="center"/>
              <w:rPr>
                <w:sz w:val="18"/>
                <w:szCs w:val="18"/>
                <w:lang w:val="en-GB"/>
              </w:rPr>
            </w:pPr>
            <w:r>
              <w:rPr>
                <w:sz w:val="16"/>
                <w:szCs w:val="18"/>
                <w:lang w:val="en-GB"/>
              </w:rPr>
              <w:t>YES, AND IT IS DEMONSTRATED</w:t>
            </w:r>
          </w:p>
        </w:tc>
        <w:tc>
          <w:tcPr>
            <w:tcW w:w="4706" w:type="dxa"/>
          </w:tcPr>
          <w:p w14:paraId="1CA18312" w14:textId="77777777" w:rsidR="00DF5486" w:rsidRDefault="0005652B">
            <w:pPr>
              <w:pStyle w:val="Normal2"/>
              <w:ind w:firstLine="0"/>
              <w:rPr>
                <w:sz w:val="20"/>
                <w:szCs w:val="20"/>
                <w:lang w:val="en-GB"/>
              </w:rPr>
            </w:pPr>
            <w:r>
              <w:rPr>
                <w:sz w:val="20"/>
                <w:szCs w:val="20"/>
                <w:lang w:val="en-GB"/>
              </w:rPr>
              <w:t>The existence of policies and procedures to address data subjects' rights should be reflected in the documentation of the DPIA, if data subjects are informed of them and it is possible to demonstrate that they are implemented.</w:t>
            </w:r>
          </w:p>
          <w:p w14:paraId="7B2E0867" w14:textId="77777777" w:rsidR="00DF5486" w:rsidRDefault="0005652B">
            <w:pPr>
              <w:pStyle w:val="Normal2"/>
              <w:ind w:firstLine="0"/>
              <w:rPr>
                <w:sz w:val="20"/>
                <w:szCs w:val="20"/>
                <w:lang w:val="en-GB"/>
              </w:rPr>
            </w:pPr>
            <w:r>
              <w:rPr>
                <w:sz w:val="20"/>
                <w:szCs w:val="20"/>
                <w:lang w:val="en-GB"/>
              </w:rPr>
              <w:t>In turn, it is also necessary that the procedures are known by all persons involved in the processing, identifying the information and training policies implemented for this purpose.</w:t>
            </w:r>
          </w:p>
        </w:tc>
      </w:tr>
      <w:tr w:rsidR="00DF5486" w:rsidRPr="00C1334D" w14:paraId="6DE56B3E" w14:textId="77777777">
        <w:tc>
          <w:tcPr>
            <w:tcW w:w="3940" w:type="dxa"/>
          </w:tcPr>
          <w:p w14:paraId="5487088B" w14:textId="77777777" w:rsidR="00DF5486" w:rsidRDefault="0005652B">
            <w:pPr>
              <w:pStyle w:val="Normal2"/>
              <w:ind w:firstLine="0"/>
              <w:rPr>
                <w:sz w:val="20"/>
                <w:szCs w:val="20"/>
                <w:lang w:val="en-GB"/>
              </w:rPr>
            </w:pPr>
            <w:r>
              <w:rPr>
                <w:sz w:val="20"/>
                <w:szCs w:val="20"/>
                <w:lang w:val="en-GB"/>
              </w:rPr>
              <w:t>6.18 The processes, products and services associated with the processing and the cases in which data subjects may be offered the right to portability (Arts. 15 and 20 GDPR) have been identified.</w:t>
            </w:r>
          </w:p>
        </w:tc>
        <w:tc>
          <w:tcPr>
            <w:tcW w:w="1560" w:type="dxa"/>
            <w:vAlign w:val="center"/>
          </w:tcPr>
          <w:p w14:paraId="5B5FAB3D" w14:textId="77777777" w:rsidR="00DF5486" w:rsidRDefault="0005652B">
            <w:pPr>
              <w:pStyle w:val="Normal2"/>
              <w:ind w:firstLine="0"/>
              <w:jc w:val="center"/>
              <w:rPr>
                <w:sz w:val="16"/>
                <w:szCs w:val="18"/>
                <w:lang w:val="en-GB"/>
              </w:rPr>
            </w:pPr>
            <w:r>
              <w:rPr>
                <w:sz w:val="16"/>
                <w:szCs w:val="18"/>
                <w:lang w:val="en-GB"/>
              </w:rPr>
              <w:t>NO</w:t>
            </w:r>
          </w:p>
          <w:p w14:paraId="00392ED6" w14:textId="77777777" w:rsidR="00DF5486" w:rsidRDefault="0005652B">
            <w:pPr>
              <w:pStyle w:val="Normal2"/>
              <w:ind w:firstLine="0"/>
              <w:jc w:val="center"/>
              <w:rPr>
                <w:sz w:val="18"/>
                <w:szCs w:val="18"/>
                <w:lang w:val="en-GB"/>
              </w:rPr>
            </w:pPr>
            <w:r>
              <w:rPr>
                <w:sz w:val="16"/>
                <w:szCs w:val="18"/>
                <w:lang w:val="en-GB"/>
              </w:rPr>
              <w:t>YES, AND IT IS DEMONSTRATED</w:t>
            </w:r>
          </w:p>
        </w:tc>
        <w:tc>
          <w:tcPr>
            <w:tcW w:w="4706" w:type="dxa"/>
          </w:tcPr>
          <w:p w14:paraId="2CC67BE5" w14:textId="77777777" w:rsidR="00DF5486" w:rsidRDefault="0005652B">
            <w:pPr>
              <w:pStyle w:val="Normal2"/>
              <w:ind w:firstLine="0"/>
              <w:rPr>
                <w:sz w:val="20"/>
                <w:szCs w:val="20"/>
                <w:lang w:val="en-GB"/>
              </w:rPr>
            </w:pPr>
            <w:r>
              <w:rPr>
                <w:sz w:val="20"/>
                <w:szCs w:val="20"/>
                <w:lang w:val="en-GB"/>
              </w:rPr>
              <w:t xml:space="preserve">It is recommended to implement a data protection policy in relation to the rights of data subjects (art. 24 GDPR) identifying the need to inform the data subject in relation to the right to portability in cases where there is the possibility of applying this right depending on each of the products, </w:t>
            </w:r>
            <w:proofErr w:type="gramStart"/>
            <w:r>
              <w:rPr>
                <w:sz w:val="20"/>
                <w:szCs w:val="20"/>
                <w:lang w:val="en-GB"/>
              </w:rPr>
              <w:t>processes</w:t>
            </w:r>
            <w:proofErr w:type="gramEnd"/>
            <w:r>
              <w:rPr>
                <w:sz w:val="20"/>
                <w:szCs w:val="20"/>
                <w:lang w:val="en-GB"/>
              </w:rPr>
              <w:t xml:space="preserve"> and services for which the processing will be used.</w:t>
            </w:r>
          </w:p>
          <w:p w14:paraId="558BC3DA" w14:textId="77777777" w:rsidR="00DF5486" w:rsidRDefault="0005652B">
            <w:pPr>
              <w:pStyle w:val="Normal2"/>
              <w:ind w:firstLine="0"/>
              <w:rPr>
                <w:sz w:val="20"/>
                <w:szCs w:val="20"/>
                <w:lang w:val="en-GB"/>
              </w:rPr>
            </w:pPr>
            <w:r>
              <w:rPr>
                <w:sz w:val="20"/>
                <w:szCs w:val="20"/>
                <w:lang w:val="en-GB"/>
              </w:rPr>
              <w:t xml:space="preserve">This information on portability should be provided to the data subject both at the beginning and at the end of the processing and throughout the life cycle of the processing, </w:t>
            </w:r>
            <w:proofErr w:type="gramStart"/>
            <w:r>
              <w:rPr>
                <w:sz w:val="20"/>
                <w:szCs w:val="20"/>
                <w:lang w:val="en-GB"/>
              </w:rPr>
              <w:t>e.g.</w:t>
            </w:r>
            <w:proofErr w:type="gramEnd"/>
            <w:r>
              <w:rPr>
                <w:sz w:val="20"/>
                <w:szCs w:val="20"/>
                <w:lang w:val="en-GB"/>
              </w:rPr>
              <w:t xml:space="preserve"> where the data subject requests to unsubscribe from a service and the right of portability is applicable, clear information on the possibility of exercising the right of portability should be provided prior to the erasure of the data subject's data relating to the service.</w:t>
            </w:r>
          </w:p>
        </w:tc>
      </w:tr>
      <w:tr w:rsidR="00DF5486" w:rsidRPr="00C1334D" w14:paraId="4DCA238C" w14:textId="77777777">
        <w:tc>
          <w:tcPr>
            <w:tcW w:w="3940" w:type="dxa"/>
          </w:tcPr>
          <w:p w14:paraId="15501CB1" w14:textId="77777777" w:rsidR="00DF5486" w:rsidRDefault="0005652B">
            <w:pPr>
              <w:pStyle w:val="Normal2"/>
              <w:ind w:firstLine="0"/>
              <w:rPr>
                <w:sz w:val="20"/>
                <w:szCs w:val="20"/>
                <w:lang w:val="en-GB"/>
              </w:rPr>
            </w:pPr>
            <w:r>
              <w:rPr>
                <w:sz w:val="20"/>
                <w:szCs w:val="20"/>
                <w:lang w:val="en-GB"/>
              </w:rPr>
              <w:t xml:space="preserve">6.19 The data used are adequate, </w:t>
            </w:r>
            <w:proofErr w:type="gramStart"/>
            <w:r>
              <w:rPr>
                <w:sz w:val="20"/>
                <w:szCs w:val="20"/>
                <w:lang w:val="en-GB"/>
              </w:rPr>
              <w:t>relevant</w:t>
            </w:r>
            <w:proofErr w:type="gramEnd"/>
            <w:r>
              <w:rPr>
                <w:sz w:val="20"/>
                <w:szCs w:val="20"/>
                <w:lang w:val="en-GB"/>
              </w:rPr>
              <w:t xml:space="preserve"> and limited to what is necessary to address the identified purposes (Art 5.1.c, Art. 25.2 GDPR).</w:t>
            </w:r>
          </w:p>
        </w:tc>
        <w:tc>
          <w:tcPr>
            <w:tcW w:w="1560" w:type="dxa"/>
            <w:vAlign w:val="center"/>
          </w:tcPr>
          <w:p w14:paraId="3D696CD2" w14:textId="77777777" w:rsidR="00DF5486" w:rsidRDefault="0005652B">
            <w:pPr>
              <w:pStyle w:val="Normal2"/>
              <w:ind w:firstLine="0"/>
              <w:jc w:val="center"/>
              <w:rPr>
                <w:sz w:val="16"/>
                <w:szCs w:val="18"/>
                <w:lang w:val="en-GB"/>
              </w:rPr>
            </w:pPr>
            <w:r>
              <w:rPr>
                <w:sz w:val="16"/>
                <w:szCs w:val="18"/>
                <w:lang w:val="en-GB"/>
              </w:rPr>
              <w:t>NO</w:t>
            </w:r>
          </w:p>
          <w:p w14:paraId="108088D0" w14:textId="77777777" w:rsidR="00DF5486" w:rsidRDefault="0005652B">
            <w:pPr>
              <w:pStyle w:val="Normal2"/>
              <w:ind w:firstLine="0"/>
              <w:jc w:val="center"/>
              <w:rPr>
                <w:sz w:val="18"/>
                <w:szCs w:val="18"/>
                <w:lang w:val="en-GB"/>
              </w:rPr>
            </w:pPr>
            <w:r>
              <w:rPr>
                <w:sz w:val="16"/>
                <w:szCs w:val="18"/>
                <w:lang w:val="en-GB"/>
              </w:rPr>
              <w:t>YES, AND IT IS DEMONSTRATED</w:t>
            </w:r>
          </w:p>
        </w:tc>
        <w:tc>
          <w:tcPr>
            <w:tcW w:w="4706" w:type="dxa"/>
          </w:tcPr>
          <w:p w14:paraId="2E0D42D8" w14:textId="77777777" w:rsidR="00DF5486" w:rsidRDefault="0005652B">
            <w:pPr>
              <w:pStyle w:val="Normal2"/>
              <w:ind w:firstLine="0"/>
              <w:rPr>
                <w:sz w:val="20"/>
                <w:szCs w:val="20"/>
                <w:lang w:val="en-GB"/>
              </w:rPr>
            </w:pPr>
            <w:r>
              <w:rPr>
                <w:sz w:val="20"/>
                <w:szCs w:val="20"/>
                <w:lang w:val="en-GB"/>
              </w:rPr>
              <w:t xml:space="preserve">The DPIA documentation should include, for each data, grouping of data, and category of data, a necessity analysis of the data in relation to the purpose of processing to demonstrate that only the data minimally necessary for the purpose(s) of </w:t>
            </w:r>
            <w:r>
              <w:rPr>
                <w:sz w:val="20"/>
                <w:szCs w:val="20"/>
                <w:lang w:val="en-GB"/>
              </w:rPr>
              <w:lastRenderedPageBreak/>
              <w:t>processing are being used.</w:t>
            </w:r>
          </w:p>
        </w:tc>
      </w:tr>
      <w:tr w:rsidR="00DF5486" w:rsidRPr="00C1334D" w14:paraId="687F0FB8" w14:textId="77777777">
        <w:tc>
          <w:tcPr>
            <w:tcW w:w="3940" w:type="dxa"/>
          </w:tcPr>
          <w:p w14:paraId="5EC28BD9" w14:textId="77777777" w:rsidR="00DF5486" w:rsidRDefault="0005652B">
            <w:pPr>
              <w:pStyle w:val="Normal2"/>
              <w:ind w:firstLine="0"/>
              <w:rPr>
                <w:sz w:val="20"/>
                <w:szCs w:val="20"/>
                <w:lang w:val="en-GB"/>
              </w:rPr>
            </w:pPr>
            <w:r>
              <w:rPr>
                <w:sz w:val="20"/>
                <w:szCs w:val="20"/>
                <w:lang w:val="en-GB"/>
              </w:rPr>
              <w:lastRenderedPageBreak/>
              <w:t>6.20 Time limits are established for the limitation of processing operations in relation to data (art. 5.1.e GDPR).</w:t>
            </w:r>
          </w:p>
        </w:tc>
        <w:tc>
          <w:tcPr>
            <w:tcW w:w="1560" w:type="dxa"/>
            <w:vAlign w:val="center"/>
          </w:tcPr>
          <w:p w14:paraId="687BE370" w14:textId="77777777" w:rsidR="00DF5486" w:rsidRDefault="0005652B">
            <w:pPr>
              <w:pStyle w:val="Normal2"/>
              <w:ind w:firstLine="0"/>
              <w:jc w:val="center"/>
              <w:rPr>
                <w:sz w:val="16"/>
                <w:szCs w:val="18"/>
                <w:lang w:val="en-GB"/>
              </w:rPr>
            </w:pPr>
            <w:r>
              <w:rPr>
                <w:sz w:val="16"/>
                <w:szCs w:val="18"/>
                <w:lang w:val="en-GB"/>
              </w:rPr>
              <w:t>NO</w:t>
            </w:r>
          </w:p>
          <w:p w14:paraId="73D13732" w14:textId="77777777" w:rsidR="00DF5486" w:rsidRDefault="0005652B">
            <w:pPr>
              <w:pStyle w:val="Normal2"/>
              <w:ind w:firstLine="0"/>
              <w:jc w:val="center"/>
              <w:rPr>
                <w:sz w:val="18"/>
                <w:szCs w:val="18"/>
                <w:lang w:val="en-GB"/>
              </w:rPr>
            </w:pPr>
            <w:r>
              <w:rPr>
                <w:sz w:val="16"/>
                <w:szCs w:val="18"/>
                <w:lang w:val="en-GB"/>
              </w:rPr>
              <w:t>YES, AND IT IS DEMONSTRATED</w:t>
            </w:r>
          </w:p>
        </w:tc>
        <w:tc>
          <w:tcPr>
            <w:tcW w:w="4706" w:type="dxa"/>
          </w:tcPr>
          <w:p w14:paraId="3C3F6E81" w14:textId="77777777" w:rsidR="00DF5486" w:rsidRDefault="0005652B">
            <w:pPr>
              <w:pStyle w:val="Normal2"/>
              <w:ind w:firstLine="0"/>
              <w:rPr>
                <w:sz w:val="20"/>
                <w:szCs w:val="20"/>
                <w:lang w:val="en-GB"/>
              </w:rPr>
            </w:pPr>
            <w:r>
              <w:rPr>
                <w:sz w:val="20"/>
                <w:szCs w:val="20"/>
                <w:lang w:val="en-GB"/>
              </w:rPr>
              <w:t>The DPIA documentation details the retention periods, locking procedures and destruction or erasure mechanisms used at the end of the retention period.</w:t>
            </w:r>
          </w:p>
        </w:tc>
      </w:tr>
      <w:tr w:rsidR="00DF5486" w:rsidRPr="00C1334D" w14:paraId="5ECA5BBB" w14:textId="77777777">
        <w:tc>
          <w:tcPr>
            <w:tcW w:w="3940" w:type="dxa"/>
          </w:tcPr>
          <w:p w14:paraId="6D8B0345" w14:textId="77777777" w:rsidR="00DF5486" w:rsidRDefault="0005652B">
            <w:pPr>
              <w:pStyle w:val="Normal2"/>
              <w:ind w:firstLine="0"/>
              <w:rPr>
                <w:sz w:val="20"/>
                <w:szCs w:val="20"/>
                <w:lang w:val="en-GB"/>
              </w:rPr>
            </w:pPr>
            <w:r>
              <w:rPr>
                <w:sz w:val="20"/>
                <w:szCs w:val="20"/>
                <w:lang w:val="en-GB"/>
              </w:rPr>
              <w:t xml:space="preserve">6.21 Treatment time limits have been established (section XIII.C.1 of the </w:t>
            </w:r>
            <w:r w:rsidR="0017413E">
              <w:fldChar w:fldCharType="begin"/>
            </w:r>
            <w:r w:rsidR="0017413E" w:rsidRPr="00C1334D">
              <w:rPr>
                <w:lang w:val="en-US"/>
              </w:rPr>
              <w:instrText xml:space="preserve"> HYPERLINK "https://w</w:instrText>
            </w:r>
            <w:r w:rsidR="0017413E" w:rsidRPr="00C1334D">
              <w:rPr>
                <w:lang w:val="en-US"/>
              </w:rPr>
              <w:instrText xml:space="preserve">ww.aepd.es/es/documento/risk-management-and-impact-assessment-in-processing-personal-data.pdf" \h </w:instrText>
            </w:r>
            <w:r w:rsidR="0017413E">
              <w:fldChar w:fldCharType="separate"/>
            </w:r>
            <w:r>
              <w:rPr>
                <w:rStyle w:val="EnlacedeInternet"/>
                <w:sz w:val="20"/>
                <w:szCs w:val="20"/>
                <w:lang w:val="en-GB"/>
              </w:rPr>
              <w:t>Guide</w:t>
            </w:r>
            <w:r w:rsidR="0017413E">
              <w:rPr>
                <w:rStyle w:val="EnlacedeInternet"/>
                <w:sz w:val="20"/>
                <w:szCs w:val="20"/>
                <w:lang w:val="en-GB"/>
              </w:rPr>
              <w:fldChar w:fldCharType="end"/>
            </w:r>
            <w:r>
              <w:rPr>
                <w:sz w:val="20"/>
                <w:szCs w:val="20"/>
                <w:lang w:val="en-GB"/>
              </w:rPr>
              <w:t>).</w:t>
            </w:r>
          </w:p>
        </w:tc>
        <w:tc>
          <w:tcPr>
            <w:tcW w:w="1560" w:type="dxa"/>
            <w:vAlign w:val="center"/>
          </w:tcPr>
          <w:p w14:paraId="090970D2" w14:textId="77777777" w:rsidR="00DF5486" w:rsidRDefault="0005652B">
            <w:pPr>
              <w:pStyle w:val="Normal2"/>
              <w:ind w:firstLine="0"/>
              <w:jc w:val="center"/>
              <w:rPr>
                <w:sz w:val="16"/>
                <w:szCs w:val="18"/>
                <w:lang w:val="en-GB"/>
              </w:rPr>
            </w:pPr>
            <w:r>
              <w:rPr>
                <w:sz w:val="16"/>
                <w:szCs w:val="18"/>
                <w:lang w:val="en-GB"/>
              </w:rPr>
              <w:t>NO</w:t>
            </w:r>
          </w:p>
          <w:p w14:paraId="4A39DA6A" w14:textId="77777777" w:rsidR="00DF5486" w:rsidRDefault="0005652B">
            <w:pPr>
              <w:pStyle w:val="Normal2"/>
              <w:ind w:firstLine="0"/>
              <w:jc w:val="center"/>
              <w:rPr>
                <w:sz w:val="18"/>
                <w:szCs w:val="18"/>
                <w:lang w:val="en-GB"/>
              </w:rPr>
            </w:pPr>
            <w:r>
              <w:rPr>
                <w:sz w:val="16"/>
                <w:szCs w:val="18"/>
                <w:lang w:val="en-GB"/>
              </w:rPr>
              <w:t>YES, AND IT IS DEMONSTRATED</w:t>
            </w:r>
          </w:p>
        </w:tc>
        <w:tc>
          <w:tcPr>
            <w:tcW w:w="4706" w:type="dxa"/>
          </w:tcPr>
          <w:p w14:paraId="287D0234" w14:textId="77777777" w:rsidR="00DF5486" w:rsidRDefault="0005652B">
            <w:pPr>
              <w:pStyle w:val="Normal2"/>
              <w:ind w:firstLine="0"/>
              <w:rPr>
                <w:sz w:val="20"/>
                <w:szCs w:val="20"/>
                <w:lang w:val="en-GB"/>
              </w:rPr>
            </w:pPr>
            <w:r>
              <w:rPr>
                <w:sz w:val="20"/>
                <w:szCs w:val="20"/>
                <w:lang w:val="en-GB"/>
              </w:rPr>
              <w:t>In relation to the analysis of the necessity of the processing, expiration clauses should be established for the processing and a periodic review of the necessity of the processing should be carried out so that in case of the disappearance of the necessity for which the processing is intended, a procedure for terminating the processing activity should be established.</w:t>
            </w:r>
          </w:p>
        </w:tc>
      </w:tr>
      <w:tr w:rsidR="00DF5486" w:rsidRPr="00C1334D" w14:paraId="4A6687DE" w14:textId="77777777">
        <w:tc>
          <w:tcPr>
            <w:tcW w:w="3940" w:type="dxa"/>
          </w:tcPr>
          <w:p w14:paraId="142E02C8" w14:textId="77777777" w:rsidR="00DF5486" w:rsidRDefault="0005652B">
            <w:pPr>
              <w:pStyle w:val="Normal2"/>
              <w:ind w:firstLine="0"/>
              <w:rPr>
                <w:sz w:val="20"/>
                <w:szCs w:val="20"/>
                <w:lang w:val="en-GB"/>
              </w:rPr>
            </w:pPr>
            <w:r>
              <w:rPr>
                <w:sz w:val="20"/>
                <w:szCs w:val="20"/>
                <w:lang w:val="en-GB"/>
              </w:rPr>
              <w:t>6.22 In the case of international transfers, compliance with the necessary safeguards set out in Chapter V of the GDPR is documented.</w:t>
            </w:r>
          </w:p>
        </w:tc>
        <w:tc>
          <w:tcPr>
            <w:tcW w:w="1560" w:type="dxa"/>
            <w:vAlign w:val="center"/>
          </w:tcPr>
          <w:p w14:paraId="442D7112" w14:textId="77777777" w:rsidR="00DF5486" w:rsidRDefault="0005652B">
            <w:pPr>
              <w:pStyle w:val="Normal2"/>
              <w:ind w:firstLine="0"/>
              <w:jc w:val="center"/>
              <w:rPr>
                <w:sz w:val="16"/>
                <w:szCs w:val="18"/>
                <w:lang w:val="en-GB"/>
              </w:rPr>
            </w:pPr>
            <w:r>
              <w:rPr>
                <w:sz w:val="16"/>
                <w:szCs w:val="18"/>
                <w:lang w:val="en-GB"/>
              </w:rPr>
              <w:t>NO</w:t>
            </w:r>
          </w:p>
          <w:p w14:paraId="1E57A525" w14:textId="77777777" w:rsidR="00DF5486" w:rsidRDefault="0005652B">
            <w:pPr>
              <w:pStyle w:val="Normal2"/>
              <w:ind w:firstLine="0"/>
              <w:jc w:val="center"/>
              <w:rPr>
                <w:sz w:val="18"/>
                <w:szCs w:val="18"/>
                <w:lang w:val="en-GB"/>
              </w:rPr>
            </w:pPr>
            <w:r>
              <w:rPr>
                <w:sz w:val="16"/>
                <w:szCs w:val="18"/>
                <w:lang w:val="en-GB"/>
              </w:rPr>
              <w:t>YES, AND IT IS DEMONSTRATED</w:t>
            </w:r>
          </w:p>
        </w:tc>
        <w:tc>
          <w:tcPr>
            <w:tcW w:w="4706" w:type="dxa"/>
          </w:tcPr>
          <w:p w14:paraId="23673B9C" w14:textId="77777777" w:rsidR="00DF5486" w:rsidRDefault="0005652B">
            <w:pPr>
              <w:pStyle w:val="Normal2"/>
              <w:ind w:firstLine="0"/>
              <w:rPr>
                <w:sz w:val="20"/>
                <w:szCs w:val="20"/>
                <w:lang w:val="en-GB"/>
              </w:rPr>
            </w:pPr>
            <w:r>
              <w:rPr>
                <w:sz w:val="20"/>
                <w:szCs w:val="20"/>
                <w:lang w:val="en-GB"/>
              </w:rPr>
              <w:t>The DPIA documentation shall reflect the details regarding the safeguards required by the GDPR for the implementation of an international data transfer, including in those cases where the processor may carry out an international transfer, in which case, those safeguards shall be reflected in the legal link between the controller and the processor.</w:t>
            </w:r>
          </w:p>
        </w:tc>
      </w:tr>
      <w:tr w:rsidR="00DF5486" w:rsidRPr="00C1334D" w14:paraId="2191BE4B" w14:textId="77777777">
        <w:tc>
          <w:tcPr>
            <w:tcW w:w="3940" w:type="dxa"/>
          </w:tcPr>
          <w:p w14:paraId="5A773254" w14:textId="77777777" w:rsidR="00DF5486" w:rsidRDefault="0005652B">
            <w:pPr>
              <w:pStyle w:val="Normal2"/>
              <w:ind w:firstLine="0"/>
              <w:rPr>
                <w:sz w:val="20"/>
                <w:szCs w:val="20"/>
                <w:lang w:val="en-GB"/>
              </w:rPr>
            </w:pPr>
            <w:r>
              <w:rPr>
                <w:sz w:val="20"/>
                <w:szCs w:val="20"/>
                <w:lang w:val="en-GB"/>
              </w:rPr>
              <w:t>6.23 Compliance with the approved codes of conduct (Article 35, paragraph 8) to which the officer has adhered is managed.</w:t>
            </w:r>
          </w:p>
        </w:tc>
        <w:tc>
          <w:tcPr>
            <w:tcW w:w="1560" w:type="dxa"/>
            <w:vAlign w:val="center"/>
          </w:tcPr>
          <w:p w14:paraId="29D2A2D3" w14:textId="77777777" w:rsidR="00DF5486" w:rsidRDefault="0005652B">
            <w:pPr>
              <w:pStyle w:val="Normal2"/>
              <w:ind w:firstLine="0"/>
              <w:jc w:val="center"/>
              <w:rPr>
                <w:sz w:val="16"/>
                <w:szCs w:val="18"/>
                <w:lang w:val="en-GB"/>
              </w:rPr>
            </w:pPr>
            <w:r>
              <w:rPr>
                <w:sz w:val="16"/>
                <w:szCs w:val="18"/>
                <w:lang w:val="en-GB"/>
              </w:rPr>
              <w:t>NO</w:t>
            </w:r>
          </w:p>
          <w:p w14:paraId="10BD381F" w14:textId="77777777" w:rsidR="00DF5486" w:rsidRDefault="0005652B">
            <w:pPr>
              <w:pStyle w:val="Normal2"/>
              <w:ind w:firstLine="0"/>
              <w:jc w:val="center"/>
              <w:rPr>
                <w:sz w:val="18"/>
                <w:szCs w:val="18"/>
                <w:lang w:val="en-GB"/>
              </w:rPr>
            </w:pPr>
            <w:r>
              <w:rPr>
                <w:sz w:val="16"/>
                <w:szCs w:val="18"/>
                <w:lang w:val="en-GB"/>
              </w:rPr>
              <w:t>YES, AND IT IS DEMONSTRATED</w:t>
            </w:r>
          </w:p>
        </w:tc>
        <w:tc>
          <w:tcPr>
            <w:tcW w:w="4706" w:type="dxa"/>
          </w:tcPr>
          <w:p w14:paraId="461EAAF8" w14:textId="77777777" w:rsidR="00DF5486" w:rsidRDefault="0005652B">
            <w:pPr>
              <w:pStyle w:val="Normal2"/>
              <w:ind w:firstLine="0"/>
              <w:rPr>
                <w:sz w:val="20"/>
                <w:szCs w:val="20"/>
                <w:lang w:val="en-GB"/>
              </w:rPr>
            </w:pPr>
            <w:r>
              <w:rPr>
                <w:sz w:val="20"/>
                <w:szCs w:val="20"/>
                <w:lang w:val="en-GB"/>
              </w:rPr>
              <w:t>In case the controller has adhered to a code of conduct, the DPIA documentation identifies the procedures to demonstrate that the processing complies with the provisions of such code.</w:t>
            </w:r>
          </w:p>
        </w:tc>
      </w:tr>
    </w:tbl>
    <w:p w14:paraId="6F3E00AF" w14:textId="77777777" w:rsidR="00DF5486" w:rsidRDefault="00DF5486">
      <w:pPr>
        <w:rPr>
          <w:lang w:val="en-GB"/>
        </w:rPr>
      </w:pPr>
    </w:p>
    <w:p w14:paraId="38AD37AE" w14:textId="77777777" w:rsidR="00DF5486" w:rsidRDefault="0005652B">
      <w:pPr>
        <w:spacing w:after="0" w:line="240" w:lineRule="auto"/>
        <w:rPr>
          <w:lang w:val="en-GB"/>
        </w:rPr>
      </w:pPr>
      <w:r w:rsidRPr="00CD0BE3">
        <w:rPr>
          <w:lang w:val="en-US"/>
        </w:rPr>
        <w:br w:type="page"/>
      </w:r>
    </w:p>
    <w:p w14:paraId="683DDCA9" w14:textId="77777777" w:rsidR="00DF5486" w:rsidRDefault="00DF5486">
      <w:pPr>
        <w:rPr>
          <w:lang w:val="en-GB"/>
        </w:rPr>
      </w:pPr>
    </w:p>
    <w:p w14:paraId="2847200E" w14:textId="77777777" w:rsidR="00DF5486" w:rsidRDefault="0005652B">
      <w:pPr>
        <w:pStyle w:val="Ttulo2"/>
        <w:rPr>
          <w:lang w:val="en-GB"/>
        </w:rPr>
      </w:pPr>
      <w:r>
        <w:rPr>
          <w:lang w:val="en-GB"/>
        </w:rPr>
        <w:t>There is a systematic description of the processing (art. 35.7.a GDPR, Fifth.</w:t>
      </w:r>
      <w:proofErr w:type="gramStart"/>
      <w:r>
        <w:rPr>
          <w:lang w:val="en-GB"/>
        </w:rPr>
        <w:t>5.g</w:t>
      </w:r>
      <w:proofErr w:type="gramEnd"/>
      <w:r>
        <w:rPr>
          <w:lang w:val="en-GB"/>
        </w:rPr>
        <w:t xml:space="preserve"> of Instruction 1/2021).</w:t>
      </w:r>
    </w:p>
    <w:p w14:paraId="4BA578B3" w14:textId="77777777" w:rsidR="00DF5486" w:rsidRDefault="0005652B">
      <w:pPr>
        <w:pStyle w:val="Normal2"/>
        <w:rPr>
          <w:sz w:val="20"/>
          <w:szCs w:val="20"/>
          <w:lang w:val="en-GB"/>
        </w:rPr>
      </w:pPr>
      <w:r>
        <w:rPr>
          <w:sz w:val="20"/>
          <w:szCs w:val="20"/>
          <w:lang w:val="en-GB"/>
        </w:rPr>
        <w:t>A description of the processing, including sufficient information to draw objective conclusions about the processing, needs to be incorporated into the DPIA documentation.</w:t>
      </w:r>
    </w:p>
    <w:p w14:paraId="26144D09" w14:textId="77777777" w:rsidR="00DF5486" w:rsidRDefault="00DF5486">
      <w:pPr>
        <w:pStyle w:val="Normal2"/>
        <w:rPr>
          <w:sz w:val="20"/>
          <w:szCs w:val="20"/>
          <w:lang w:val="en-GB"/>
        </w:rPr>
      </w:pPr>
    </w:p>
    <w:tbl>
      <w:tblPr>
        <w:tblStyle w:val="Tablaconcuadrcula"/>
        <w:tblW w:w="10206" w:type="dxa"/>
        <w:tblInd w:w="-572" w:type="dxa"/>
        <w:tblLayout w:type="fixed"/>
        <w:tblLook w:val="04A0" w:firstRow="1" w:lastRow="0" w:firstColumn="1" w:lastColumn="0" w:noHBand="0" w:noVBand="1"/>
      </w:tblPr>
      <w:tblGrid>
        <w:gridCol w:w="3686"/>
        <w:gridCol w:w="1672"/>
        <w:gridCol w:w="4848"/>
      </w:tblGrid>
      <w:tr w:rsidR="00DF5486" w:rsidRPr="00C1334D" w14:paraId="5DAE0F43" w14:textId="77777777">
        <w:tc>
          <w:tcPr>
            <w:tcW w:w="3686" w:type="dxa"/>
            <w:shd w:val="clear" w:color="auto" w:fill="FFDE93"/>
          </w:tcPr>
          <w:p w14:paraId="73DC1C39" w14:textId="77777777" w:rsidR="00DF5486" w:rsidRDefault="0005652B">
            <w:pPr>
              <w:pStyle w:val="Normal2"/>
              <w:ind w:firstLine="0"/>
              <w:jc w:val="center"/>
              <w:rPr>
                <w:b/>
                <w:bCs/>
                <w:sz w:val="20"/>
                <w:szCs w:val="20"/>
                <w:lang w:val="en-GB"/>
              </w:rPr>
            </w:pPr>
            <w:r>
              <w:rPr>
                <w:b/>
                <w:bCs/>
                <w:sz w:val="20"/>
                <w:szCs w:val="20"/>
                <w:lang w:val="en-GB"/>
              </w:rPr>
              <w:t>ELEMENTS OF VERIFICATION</w:t>
            </w:r>
          </w:p>
        </w:tc>
        <w:tc>
          <w:tcPr>
            <w:tcW w:w="1672" w:type="dxa"/>
            <w:shd w:val="clear" w:color="auto" w:fill="FFDE93"/>
          </w:tcPr>
          <w:p w14:paraId="5E339B42" w14:textId="77777777" w:rsidR="00DF5486" w:rsidRDefault="0005652B">
            <w:pPr>
              <w:pStyle w:val="Normal2"/>
              <w:ind w:firstLine="0"/>
              <w:jc w:val="center"/>
              <w:rPr>
                <w:b/>
                <w:bCs/>
                <w:sz w:val="18"/>
                <w:szCs w:val="18"/>
                <w:lang w:val="en-GB"/>
              </w:rPr>
            </w:pPr>
            <w:r>
              <w:rPr>
                <w:b/>
                <w:bCs/>
                <w:sz w:val="18"/>
                <w:szCs w:val="18"/>
                <w:lang w:val="en-GB"/>
              </w:rPr>
              <w:t>CHECK</w:t>
            </w:r>
          </w:p>
        </w:tc>
        <w:tc>
          <w:tcPr>
            <w:tcW w:w="4848" w:type="dxa"/>
            <w:shd w:val="clear" w:color="auto" w:fill="FFDE93"/>
          </w:tcPr>
          <w:p w14:paraId="7CD82A2F" w14:textId="77777777" w:rsidR="00DF5486" w:rsidRDefault="0005652B">
            <w:pPr>
              <w:pStyle w:val="Normal2"/>
              <w:ind w:firstLine="0"/>
              <w:jc w:val="center"/>
              <w:rPr>
                <w:b/>
                <w:bCs/>
                <w:sz w:val="20"/>
                <w:szCs w:val="20"/>
                <w:lang w:val="en-GB"/>
              </w:rPr>
            </w:pPr>
            <w:r>
              <w:rPr>
                <w:b/>
                <w:bCs/>
                <w:sz w:val="20"/>
                <w:szCs w:val="20"/>
                <w:lang w:val="en-GB"/>
              </w:rPr>
              <w:t>COMMENTS</w:t>
            </w:r>
          </w:p>
          <w:p w14:paraId="0BD74CE8" w14:textId="77777777" w:rsidR="00DF5486" w:rsidRDefault="0005652B">
            <w:pPr>
              <w:pStyle w:val="Normal2"/>
              <w:ind w:firstLine="0"/>
              <w:jc w:val="center"/>
              <w:rPr>
                <w:sz w:val="20"/>
                <w:szCs w:val="20"/>
                <w:lang w:val="en-GB"/>
              </w:rPr>
            </w:pPr>
            <w:r>
              <w:rPr>
                <w:sz w:val="20"/>
                <w:szCs w:val="20"/>
                <w:lang w:val="en-GB"/>
              </w:rPr>
              <w:t>(</w:t>
            </w:r>
            <w:proofErr w:type="gramStart"/>
            <w:r>
              <w:rPr>
                <w:sz w:val="20"/>
                <w:szCs w:val="20"/>
                <w:lang w:val="en-GB"/>
              </w:rPr>
              <w:t>replace</w:t>
            </w:r>
            <w:proofErr w:type="gramEnd"/>
            <w:r>
              <w:rPr>
                <w:sz w:val="20"/>
                <w:szCs w:val="20"/>
                <w:lang w:val="en-GB"/>
              </w:rPr>
              <w:t xml:space="preserve"> these comments with the appropriate ones in each case)</w:t>
            </w:r>
          </w:p>
        </w:tc>
      </w:tr>
      <w:tr w:rsidR="00DF5486" w:rsidRPr="00C1334D" w14:paraId="4819DD20" w14:textId="77777777">
        <w:tc>
          <w:tcPr>
            <w:tcW w:w="3686" w:type="dxa"/>
            <w:shd w:val="clear" w:color="auto" w:fill="auto"/>
          </w:tcPr>
          <w:p w14:paraId="798C52E8" w14:textId="77777777" w:rsidR="00DF5486" w:rsidRDefault="0005652B">
            <w:pPr>
              <w:pStyle w:val="Normal2"/>
              <w:ind w:firstLine="0"/>
              <w:rPr>
                <w:sz w:val="20"/>
                <w:szCs w:val="20"/>
                <w:lang w:val="en-GB"/>
              </w:rPr>
            </w:pPr>
            <w:r>
              <w:rPr>
                <w:sz w:val="20"/>
                <w:szCs w:val="20"/>
                <w:lang w:val="en-GB"/>
              </w:rPr>
              <w:t xml:space="preserve">7.1 The nature, scope and context of the processing are fully described (Recital 90 GDPR and Section V.A of the </w:t>
            </w:r>
            <w:hyperlink r:id="rId14">
              <w:r>
                <w:rPr>
                  <w:rStyle w:val="EnlacedeInternet"/>
                  <w:sz w:val="20"/>
                  <w:szCs w:val="20"/>
                  <w:lang w:val="en-GB"/>
                </w:rPr>
                <w:t>Guide</w:t>
              </w:r>
            </w:hyperlink>
            <w:r>
              <w:rPr>
                <w:sz w:val="20"/>
                <w:szCs w:val="20"/>
                <w:lang w:val="en-GB"/>
              </w:rPr>
              <w:t>).</w:t>
            </w:r>
          </w:p>
        </w:tc>
        <w:tc>
          <w:tcPr>
            <w:tcW w:w="1672" w:type="dxa"/>
            <w:shd w:val="clear" w:color="auto" w:fill="auto"/>
            <w:vAlign w:val="center"/>
          </w:tcPr>
          <w:p w14:paraId="175578C2" w14:textId="77777777" w:rsidR="00DF5486" w:rsidRDefault="0005652B">
            <w:pPr>
              <w:pStyle w:val="Normal2"/>
              <w:ind w:firstLine="0"/>
              <w:jc w:val="center"/>
              <w:rPr>
                <w:sz w:val="16"/>
                <w:szCs w:val="18"/>
                <w:lang w:val="en-GB"/>
              </w:rPr>
            </w:pPr>
            <w:r>
              <w:rPr>
                <w:sz w:val="16"/>
                <w:szCs w:val="18"/>
                <w:lang w:val="en-GB"/>
              </w:rPr>
              <w:t>NO</w:t>
            </w:r>
          </w:p>
          <w:p w14:paraId="4506624C" w14:textId="77777777" w:rsidR="00DF5486" w:rsidRDefault="0005652B">
            <w:pPr>
              <w:pStyle w:val="Normal2"/>
              <w:ind w:firstLine="0"/>
              <w:jc w:val="center"/>
              <w:rPr>
                <w:sz w:val="18"/>
                <w:szCs w:val="18"/>
                <w:lang w:val="en-GB"/>
              </w:rPr>
            </w:pPr>
            <w:r>
              <w:rPr>
                <w:sz w:val="16"/>
                <w:szCs w:val="18"/>
                <w:lang w:val="en-GB"/>
              </w:rPr>
              <w:t>YES, AND IT IS DEMONSTRATED</w:t>
            </w:r>
          </w:p>
        </w:tc>
        <w:tc>
          <w:tcPr>
            <w:tcW w:w="4848" w:type="dxa"/>
            <w:shd w:val="clear" w:color="auto" w:fill="auto"/>
          </w:tcPr>
          <w:p w14:paraId="20F5E3D0" w14:textId="77777777" w:rsidR="00DF5486" w:rsidRDefault="0005652B">
            <w:pPr>
              <w:pStyle w:val="Normal2"/>
              <w:ind w:firstLine="0"/>
              <w:rPr>
                <w:sz w:val="20"/>
                <w:szCs w:val="20"/>
                <w:lang w:val="en-GB"/>
              </w:rPr>
            </w:pPr>
            <w:r>
              <w:rPr>
                <w:sz w:val="20"/>
                <w:szCs w:val="20"/>
                <w:lang w:val="en-GB"/>
              </w:rPr>
              <w:t xml:space="preserve">The following should be </w:t>
            </w:r>
            <w:proofErr w:type="gramStart"/>
            <w:r>
              <w:rPr>
                <w:sz w:val="20"/>
                <w:szCs w:val="20"/>
                <w:lang w:val="en-GB"/>
              </w:rPr>
              <w:t>taken into account</w:t>
            </w:r>
            <w:proofErr w:type="gramEnd"/>
            <w:r>
              <w:rPr>
                <w:sz w:val="20"/>
                <w:szCs w:val="20"/>
                <w:lang w:val="en-GB"/>
              </w:rPr>
              <w:t>: applicable sector-specific rules, social aspects, socio-economic characteristics of data subjects, typology of data, typology of data subjects taking into account their possible situations of vulnerability, etc.</w:t>
            </w:r>
          </w:p>
          <w:p w14:paraId="1431731D" w14:textId="77777777" w:rsidR="00DF5486" w:rsidRDefault="0005652B">
            <w:pPr>
              <w:pStyle w:val="Normal2"/>
              <w:ind w:firstLine="0"/>
              <w:rPr>
                <w:sz w:val="20"/>
                <w:szCs w:val="20"/>
                <w:lang w:val="en-GB"/>
              </w:rPr>
            </w:pPr>
            <w:r>
              <w:rPr>
                <w:sz w:val="20"/>
                <w:szCs w:val="20"/>
                <w:lang w:val="en-GB"/>
              </w:rPr>
              <w:t xml:space="preserve">It is recommended to use a high-level diagram indicating the relationship of the treatment to the business processes to which it is intended to respond (products, </w:t>
            </w:r>
            <w:proofErr w:type="gramStart"/>
            <w:r>
              <w:rPr>
                <w:sz w:val="20"/>
                <w:szCs w:val="20"/>
                <w:lang w:val="en-GB"/>
              </w:rPr>
              <w:t>processes</w:t>
            </w:r>
            <w:proofErr w:type="gramEnd"/>
            <w:r>
              <w:rPr>
                <w:sz w:val="20"/>
                <w:szCs w:val="20"/>
                <w:lang w:val="en-GB"/>
              </w:rPr>
              <w:t xml:space="preserve"> and services).</w:t>
            </w:r>
          </w:p>
        </w:tc>
      </w:tr>
      <w:tr w:rsidR="00DF5486" w:rsidRPr="00C1334D" w14:paraId="7131CB26" w14:textId="77777777">
        <w:tc>
          <w:tcPr>
            <w:tcW w:w="3686" w:type="dxa"/>
            <w:shd w:val="clear" w:color="auto" w:fill="auto"/>
          </w:tcPr>
          <w:p w14:paraId="2344FA4E" w14:textId="77777777" w:rsidR="00DF5486" w:rsidRDefault="0005652B">
            <w:pPr>
              <w:pStyle w:val="Normal2"/>
              <w:ind w:firstLine="0"/>
              <w:rPr>
                <w:sz w:val="20"/>
                <w:szCs w:val="20"/>
                <w:lang w:val="en-GB"/>
              </w:rPr>
            </w:pPr>
            <w:r>
              <w:rPr>
                <w:sz w:val="20"/>
                <w:szCs w:val="20"/>
                <w:lang w:val="en-GB"/>
              </w:rPr>
              <w:t>7.2 A structured treatment analysis is included.</w:t>
            </w:r>
          </w:p>
        </w:tc>
        <w:tc>
          <w:tcPr>
            <w:tcW w:w="1672" w:type="dxa"/>
            <w:shd w:val="clear" w:color="auto" w:fill="auto"/>
            <w:vAlign w:val="center"/>
          </w:tcPr>
          <w:p w14:paraId="28434878" w14:textId="77777777" w:rsidR="00DF5486" w:rsidRDefault="0005652B">
            <w:pPr>
              <w:pStyle w:val="Normal2"/>
              <w:ind w:firstLine="0"/>
              <w:jc w:val="center"/>
              <w:rPr>
                <w:sz w:val="16"/>
                <w:szCs w:val="18"/>
                <w:lang w:val="en-GB"/>
              </w:rPr>
            </w:pPr>
            <w:r>
              <w:rPr>
                <w:sz w:val="16"/>
                <w:szCs w:val="18"/>
                <w:lang w:val="en-GB"/>
              </w:rPr>
              <w:t>NO</w:t>
            </w:r>
          </w:p>
          <w:p w14:paraId="383FFE08" w14:textId="77777777" w:rsidR="00DF5486" w:rsidRDefault="0005652B">
            <w:pPr>
              <w:pStyle w:val="Normal2"/>
              <w:ind w:firstLine="0"/>
              <w:jc w:val="center"/>
              <w:rPr>
                <w:sz w:val="18"/>
                <w:szCs w:val="18"/>
                <w:lang w:val="en-GB"/>
              </w:rPr>
            </w:pPr>
            <w:r>
              <w:rPr>
                <w:sz w:val="16"/>
                <w:szCs w:val="18"/>
                <w:lang w:val="en-GB"/>
              </w:rPr>
              <w:t>YES, AND IT IS DEMONSTRATED</w:t>
            </w:r>
          </w:p>
        </w:tc>
        <w:tc>
          <w:tcPr>
            <w:tcW w:w="4848" w:type="dxa"/>
            <w:shd w:val="clear" w:color="auto" w:fill="auto"/>
          </w:tcPr>
          <w:p w14:paraId="0A015BF7" w14:textId="77777777" w:rsidR="00DF5486" w:rsidRDefault="0005652B">
            <w:pPr>
              <w:pStyle w:val="Normal2"/>
              <w:ind w:firstLine="0"/>
              <w:rPr>
                <w:sz w:val="20"/>
                <w:szCs w:val="20"/>
                <w:lang w:val="en-GB"/>
              </w:rPr>
            </w:pPr>
            <w:r>
              <w:rPr>
                <w:sz w:val="20"/>
                <w:szCs w:val="20"/>
                <w:lang w:val="en-GB"/>
              </w:rPr>
              <w:t xml:space="preserve">The DPIA documentation, for each processing step, details the different processing operations that may be part of a processing operation, and the relationship between them. </w:t>
            </w:r>
            <w:proofErr w:type="gramStart"/>
            <w:r>
              <w:rPr>
                <w:sz w:val="20"/>
                <w:szCs w:val="20"/>
                <w:lang w:val="en-GB"/>
              </w:rPr>
              <w:t>In particular, it</w:t>
            </w:r>
            <w:proofErr w:type="gramEnd"/>
            <w:r>
              <w:rPr>
                <w:sz w:val="20"/>
                <w:szCs w:val="20"/>
                <w:lang w:val="en-GB"/>
              </w:rPr>
              <w:t xml:space="preserve"> details those that are of interest from a data protection point of view.</w:t>
            </w:r>
          </w:p>
        </w:tc>
      </w:tr>
      <w:tr w:rsidR="00DF5486" w:rsidRPr="00C1334D" w14:paraId="38F5626A" w14:textId="77777777">
        <w:tc>
          <w:tcPr>
            <w:tcW w:w="3686" w:type="dxa"/>
            <w:shd w:val="clear" w:color="auto" w:fill="auto"/>
          </w:tcPr>
          <w:p w14:paraId="1E4B6865" w14:textId="77777777" w:rsidR="00DF5486" w:rsidRDefault="0005652B">
            <w:pPr>
              <w:pStyle w:val="Normal2"/>
              <w:ind w:firstLine="0"/>
              <w:rPr>
                <w:sz w:val="20"/>
                <w:szCs w:val="20"/>
                <w:lang w:val="en-GB"/>
              </w:rPr>
            </w:pPr>
            <w:r>
              <w:rPr>
                <w:sz w:val="20"/>
                <w:szCs w:val="20"/>
                <w:lang w:val="en-GB"/>
              </w:rPr>
              <w:t>7.3 A description of the data life cycle is included.</w:t>
            </w:r>
          </w:p>
        </w:tc>
        <w:tc>
          <w:tcPr>
            <w:tcW w:w="1672" w:type="dxa"/>
            <w:shd w:val="clear" w:color="auto" w:fill="auto"/>
            <w:vAlign w:val="center"/>
          </w:tcPr>
          <w:p w14:paraId="4DF09A45" w14:textId="77777777" w:rsidR="00DF5486" w:rsidRDefault="0005652B">
            <w:pPr>
              <w:pStyle w:val="Normal2"/>
              <w:ind w:firstLine="0"/>
              <w:jc w:val="center"/>
              <w:rPr>
                <w:sz w:val="16"/>
                <w:szCs w:val="18"/>
                <w:lang w:val="en-GB"/>
              </w:rPr>
            </w:pPr>
            <w:r>
              <w:rPr>
                <w:sz w:val="16"/>
                <w:szCs w:val="18"/>
                <w:lang w:val="en-GB"/>
              </w:rPr>
              <w:t>NO</w:t>
            </w:r>
          </w:p>
          <w:p w14:paraId="225B3005" w14:textId="77777777" w:rsidR="00DF5486" w:rsidRDefault="0005652B">
            <w:pPr>
              <w:pStyle w:val="Normal2"/>
              <w:ind w:firstLine="0"/>
              <w:jc w:val="center"/>
              <w:rPr>
                <w:sz w:val="18"/>
                <w:szCs w:val="18"/>
                <w:lang w:val="en-GB"/>
              </w:rPr>
            </w:pPr>
            <w:r>
              <w:rPr>
                <w:sz w:val="16"/>
                <w:szCs w:val="18"/>
                <w:lang w:val="en-GB"/>
              </w:rPr>
              <w:t>YES, AND IT IS DEMONSTRATED</w:t>
            </w:r>
          </w:p>
        </w:tc>
        <w:tc>
          <w:tcPr>
            <w:tcW w:w="4848" w:type="dxa"/>
            <w:shd w:val="clear" w:color="auto" w:fill="auto"/>
          </w:tcPr>
          <w:p w14:paraId="1F4DF953" w14:textId="77777777" w:rsidR="00DF5486" w:rsidRDefault="0005652B">
            <w:pPr>
              <w:pStyle w:val="Normal2"/>
              <w:ind w:firstLine="0"/>
              <w:rPr>
                <w:sz w:val="20"/>
                <w:szCs w:val="20"/>
                <w:lang w:val="en-GB"/>
              </w:rPr>
            </w:pPr>
            <w:r>
              <w:rPr>
                <w:sz w:val="20"/>
                <w:szCs w:val="20"/>
                <w:lang w:val="en-GB"/>
              </w:rPr>
              <w:t xml:space="preserve">The DPIA documentation, for each of the processing steps, details the data processed (direct identifiers, indirect identifiers, inferred data, </w:t>
            </w:r>
            <w:proofErr w:type="gramStart"/>
            <w:r>
              <w:rPr>
                <w:sz w:val="20"/>
                <w:szCs w:val="20"/>
                <w:lang w:val="en-GB"/>
              </w:rPr>
              <w:t>origin</w:t>
            </w:r>
            <w:proofErr w:type="gramEnd"/>
            <w:r>
              <w:rPr>
                <w:sz w:val="20"/>
                <w:szCs w:val="20"/>
                <w:lang w:val="en-GB"/>
              </w:rPr>
              <w:t xml:space="preserve"> and sources of the data, etc.).</w:t>
            </w:r>
          </w:p>
          <w:p w14:paraId="0D629FE6" w14:textId="77777777" w:rsidR="00DF5486" w:rsidRDefault="0005652B">
            <w:pPr>
              <w:pStyle w:val="Normal2"/>
              <w:ind w:firstLine="0"/>
              <w:rPr>
                <w:sz w:val="20"/>
                <w:szCs w:val="20"/>
                <w:lang w:val="en-GB"/>
              </w:rPr>
            </w:pPr>
            <w:r>
              <w:rPr>
                <w:sz w:val="20"/>
                <w:szCs w:val="20"/>
                <w:lang w:val="en-GB"/>
              </w:rPr>
              <w:t>It should also detail the periods of limitation of use of the data in relation to the purpose pursued, the rules obliging the establishment of limitation periods that may be applicable to the processing, data blocking procedures if any, and/or measures restricting access to information in relation to such limitations.</w:t>
            </w:r>
          </w:p>
          <w:p w14:paraId="1B9CFD9E" w14:textId="77777777" w:rsidR="00DF5486" w:rsidRDefault="0005652B">
            <w:pPr>
              <w:pStyle w:val="Normal2"/>
              <w:ind w:firstLine="0"/>
              <w:rPr>
                <w:sz w:val="20"/>
                <w:szCs w:val="20"/>
                <w:lang w:val="en-GB"/>
              </w:rPr>
            </w:pPr>
            <w:r>
              <w:rPr>
                <w:sz w:val="20"/>
                <w:szCs w:val="20"/>
                <w:lang w:val="en-GB"/>
              </w:rPr>
              <w:t>Please note that not all data necessary for processing may be subject to the same limitations.</w:t>
            </w:r>
          </w:p>
          <w:p w14:paraId="70BA5FAD" w14:textId="77777777" w:rsidR="00DF5486" w:rsidRDefault="0005652B">
            <w:pPr>
              <w:pStyle w:val="Normal2"/>
              <w:ind w:firstLine="0"/>
              <w:rPr>
                <w:sz w:val="20"/>
                <w:szCs w:val="20"/>
                <w:lang w:val="en-GB"/>
              </w:rPr>
            </w:pPr>
            <w:r>
              <w:rPr>
                <w:sz w:val="20"/>
                <w:szCs w:val="20"/>
                <w:lang w:val="en-GB"/>
              </w:rPr>
              <w:t>If the end of the data's life cycle involves its total or partial destruction, the destruction, erasure or blocking procedure used should be added, which should be understood as one of the processing operations carried out.</w:t>
            </w:r>
          </w:p>
        </w:tc>
      </w:tr>
      <w:tr w:rsidR="00DF5486" w:rsidRPr="00C1334D" w14:paraId="013C3064" w14:textId="77777777">
        <w:tc>
          <w:tcPr>
            <w:tcW w:w="3686" w:type="dxa"/>
            <w:shd w:val="clear" w:color="auto" w:fill="auto"/>
          </w:tcPr>
          <w:p w14:paraId="38CD4C02" w14:textId="77777777" w:rsidR="00DF5486" w:rsidRDefault="0005652B">
            <w:pPr>
              <w:pStyle w:val="Normal2"/>
              <w:ind w:firstLine="0"/>
              <w:rPr>
                <w:sz w:val="20"/>
                <w:szCs w:val="20"/>
                <w:lang w:val="en-GB"/>
              </w:rPr>
            </w:pPr>
            <w:r>
              <w:rPr>
                <w:sz w:val="20"/>
                <w:szCs w:val="20"/>
                <w:lang w:val="en-GB"/>
              </w:rPr>
              <w:t xml:space="preserve">7.4 A description of the assets involved in the processing and the </w:t>
            </w:r>
            <w:r>
              <w:rPr>
                <w:sz w:val="20"/>
                <w:szCs w:val="20"/>
                <w:lang w:val="en-GB"/>
              </w:rPr>
              <w:lastRenderedPageBreak/>
              <w:t xml:space="preserve">vulnerabilities and threats to which they are exposed is included in order to determine the set of security measures necessary for the protection of the rights and freedoms of data subjects (Art. 32 and Recital 87 GDPR, section V.D of the </w:t>
            </w:r>
            <w:r w:rsidR="0017413E">
              <w:fldChar w:fldCharType="begin"/>
            </w:r>
            <w:r w:rsidR="0017413E" w:rsidRPr="00C1334D">
              <w:rPr>
                <w:lang w:val="en-US"/>
              </w:rPr>
              <w:instrText xml:space="preserve"> HYPERLINK "htt</w:instrText>
            </w:r>
            <w:r w:rsidR="0017413E" w:rsidRPr="00C1334D">
              <w:rPr>
                <w:lang w:val="en-US"/>
              </w:rPr>
              <w:instrText xml:space="preserve">ps://www.aepd.es/es/documento/risk-management-and-impact-assessment-in-processing-personal-data.pdf" \h </w:instrText>
            </w:r>
            <w:r w:rsidR="0017413E">
              <w:fldChar w:fldCharType="separate"/>
            </w:r>
            <w:r>
              <w:rPr>
                <w:rStyle w:val="EnlacedeInternet"/>
                <w:sz w:val="20"/>
                <w:szCs w:val="20"/>
                <w:lang w:val="en-GB"/>
              </w:rPr>
              <w:t>Guide</w:t>
            </w:r>
            <w:r w:rsidR="0017413E">
              <w:rPr>
                <w:rStyle w:val="EnlacedeInternet"/>
                <w:sz w:val="20"/>
                <w:szCs w:val="20"/>
                <w:lang w:val="en-GB"/>
              </w:rPr>
              <w:fldChar w:fldCharType="end"/>
            </w:r>
            <w:r>
              <w:rPr>
                <w:sz w:val="20"/>
                <w:szCs w:val="20"/>
                <w:lang w:val="en-GB"/>
              </w:rPr>
              <w:t>).</w:t>
            </w:r>
          </w:p>
        </w:tc>
        <w:tc>
          <w:tcPr>
            <w:tcW w:w="1672" w:type="dxa"/>
            <w:shd w:val="clear" w:color="auto" w:fill="auto"/>
            <w:vAlign w:val="center"/>
          </w:tcPr>
          <w:p w14:paraId="36E9B7DA" w14:textId="77777777" w:rsidR="00DF5486" w:rsidRDefault="0005652B">
            <w:pPr>
              <w:pStyle w:val="Normal2"/>
              <w:ind w:firstLine="0"/>
              <w:jc w:val="center"/>
              <w:rPr>
                <w:sz w:val="16"/>
                <w:szCs w:val="18"/>
                <w:lang w:val="en-GB"/>
              </w:rPr>
            </w:pPr>
            <w:r>
              <w:rPr>
                <w:sz w:val="16"/>
                <w:szCs w:val="18"/>
                <w:lang w:val="en-GB"/>
              </w:rPr>
              <w:lastRenderedPageBreak/>
              <w:t>NO</w:t>
            </w:r>
          </w:p>
          <w:p w14:paraId="3F3EF8D7" w14:textId="77777777" w:rsidR="00DF5486" w:rsidRDefault="0005652B">
            <w:pPr>
              <w:pStyle w:val="Normal2"/>
              <w:ind w:firstLine="0"/>
              <w:jc w:val="center"/>
              <w:rPr>
                <w:sz w:val="18"/>
                <w:szCs w:val="18"/>
                <w:lang w:val="en-GB"/>
              </w:rPr>
            </w:pPr>
            <w:r>
              <w:rPr>
                <w:sz w:val="16"/>
                <w:szCs w:val="18"/>
                <w:lang w:val="en-GB"/>
              </w:rPr>
              <w:t xml:space="preserve">YES, AND IT IS </w:t>
            </w:r>
            <w:r>
              <w:rPr>
                <w:sz w:val="16"/>
                <w:szCs w:val="18"/>
                <w:lang w:val="en-GB"/>
              </w:rPr>
              <w:lastRenderedPageBreak/>
              <w:t>DEMONSTRATED</w:t>
            </w:r>
          </w:p>
        </w:tc>
        <w:tc>
          <w:tcPr>
            <w:tcW w:w="4848" w:type="dxa"/>
            <w:shd w:val="clear" w:color="auto" w:fill="auto"/>
          </w:tcPr>
          <w:p w14:paraId="6DDD375B" w14:textId="77777777" w:rsidR="00DF5486" w:rsidRDefault="0005652B">
            <w:pPr>
              <w:pStyle w:val="Normal2"/>
              <w:ind w:firstLine="0"/>
              <w:rPr>
                <w:sz w:val="20"/>
                <w:szCs w:val="20"/>
                <w:lang w:val="en-GB"/>
              </w:rPr>
            </w:pPr>
            <w:r>
              <w:rPr>
                <w:sz w:val="20"/>
                <w:szCs w:val="20"/>
                <w:lang w:val="en-GB"/>
              </w:rPr>
              <w:lastRenderedPageBreak/>
              <w:t xml:space="preserve">In the DPIA documentation, for each step of the processing in accordance with the data life cycle, </w:t>
            </w:r>
            <w:r>
              <w:rPr>
                <w:sz w:val="20"/>
                <w:szCs w:val="20"/>
                <w:lang w:val="en-GB"/>
              </w:rPr>
              <w:lastRenderedPageBreak/>
              <w:t>the technological means and aspects related to the processing of personal data (hardware, software, networks, persons, media -paper, electronic, etc. - or transmission channels, and all those necessary to carry out the processing) are identified.</w:t>
            </w:r>
          </w:p>
          <w:p w14:paraId="5AA1836F" w14:textId="77777777" w:rsidR="00DF5486" w:rsidRDefault="0005652B">
            <w:pPr>
              <w:pStyle w:val="Normal2"/>
              <w:ind w:firstLine="0"/>
              <w:rPr>
                <w:sz w:val="20"/>
                <w:szCs w:val="20"/>
                <w:lang w:val="en-GB"/>
              </w:rPr>
            </w:pPr>
            <w:r>
              <w:rPr>
                <w:sz w:val="20"/>
                <w:szCs w:val="20"/>
                <w:lang w:val="en-GB"/>
              </w:rPr>
              <w:t xml:space="preserve">In turn, the technical and organisational measures related to the processing (persons, facilities, non-technical procedures...) are identified, </w:t>
            </w:r>
            <w:proofErr w:type="gramStart"/>
            <w:r>
              <w:rPr>
                <w:sz w:val="20"/>
                <w:szCs w:val="20"/>
                <w:lang w:val="en-GB"/>
              </w:rPr>
              <w:t>taking into account</w:t>
            </w:r>
            <w:proofErr w:type="gramEnd"/>
            <w:r>
              <w:rPr>
                <w:sz w:val="20"/>
                <w:szCs w:val="20"/>
                <w:lang w:val="en-GB"/>
              </w:rPr>
              <w:t xml:space="preserve"> the nature, scope, context and purposes of the processing in such a way as to ensure the confidentiality, integrity and resilience of the systems and services on which the processing is carried out.</w:t>
            </w:r>
          </w:p>
        </w:tc>
      </w:tr>
      <w:tr w:rsidR="00DF5486" w:rsidRPr="00C1334D" w14:paraId="61049573" w14:textId="77777777">
        <w:tc>
          <w:tcPr>
            <w:tcW w:w="3686" w:type="dxa"/>
            <w:shd w:val="clear" w:color="auto" w:fill="auto"/>
          </w:tcPr>
          <w:p w14:paraId="7D19117D" w14:textId="77777777" w:rsidR="00DF5486" w:rsidRDefault="0005652B">
            <w:pPr>
              <w:pStyle w:val="Normal2"/>
              <w:ind w:firstLine="0"/>
              <w:rPr>
                <w:sz w:val="20"/>
                <w:szCs w:val="20"/>
                <w:lang w:val="en-GB"/>
              </w:rPr>
            </w:pPr>
            <w:r>
              <w:rPr>
                <w:sz w:val="20"/>
                <w:szCs w:val="20"/>
                <w:lang w:val="en-GB"/>
              </w:rPr>
              <w:lastRenderedPageBreak/>
              <w:t xml:space="preserve">7.5 The use cases of the processing are described (section V.E of the </w:t>
            </w:r>
            <w:hyperlink r:id="rId15">
              <w:r>
                <w:rPr>
                  <w:rStyle w:val="EnlacedeInternet"/>
                  <w:sz w:val="20"/>
                  <w:szCs w:val="20"/>
                  <w:lang w:val="en-GB"/>
                </w:rPr>
                <w:t>Guide</w:t>
              </w:r>
            </w:hyperlink>
            <w:r>
              <w:rPr>
                <w:sz w:val="20"/>
                <w:szCs w:val="20"/>
                <w:lang w:val="en-GB"/>
              </w:rPr>
              <w:t>).</w:t>
            </w:r>
          </w:p>
        </w:tc>
        <w:tc>
          <w:tcPr>
            <w:tcW w:w="1672" w:type="dxa"/>
            <w:shd w:val="clear" w:color="auto" w:fill="auto"/>
            <w:vAlign w:val="center"/>
          </w:tcPr>
          <w:p w14:paraId="45C0EC36" w14:textId="77777777" w:rsidR="00DF5486" w:rsidRDefault="0005652B">
            <w:pPr>
              <w:pStyle w:val="Normal2"/>
              <w:ind w:firstLine="0"/>
              <w:jc w:val="center"/>
              <w:rPr>
                <w:sz w:val="16"/>
                <w:szCs w:val="18"/>
                <w:lang w:val="en-GB"/>
              </w:rPr>
            </w:pPr>
            <w:r>
              <w:rPr>
                <w:sz w:val="16"/>
                <w:szCs w:val="18"/>
                <w:lang w:val="en-GB"/>
              </w:rPr>
              <w:t>NO</w:t>
            </w:r>
          </w:p>
          <w:p w14:paraId="1532A61E" w14:textId="77777777" w:rsidR="00DF5486" w:rsidRDefault="0005652B">
            <w:pPr>
              <w:pStyle w:val="Normal2"/>
              <w:ind w:firstLine="0"/>
              <w:jc w:val="center"/>
              <w:rPr>
                <w:sz w:val="18"/>
                <w:szCs w:val="18"/>
                <w:lang w:val="en-GB"/>
              </w:rPr>
            </w:pPr>
            <w:r>
              <w:rPr>
                <w:sz w:val="16"/>
                <w:szCs w:val="18"/>
                <w:lang w:val="en-GB"/>
              </w:rPr>
              <w:t>YES, AND IT IS DEMONSTRATED</w:t>
            </w:r>
          </w:p>
        </w:tc>
        <w:tc>
          <w:tcPr>
            <w:tcW w:w="4848" w:type="dxa"/>
            <w:shd w:val="clear" w:color="auto" w:fill="auto"/>
          </w:tcPr>
          <w:p w14:paraId="531B7FD9" w14:textId="77777777" w:rsidR="00DF5486" w:rsidRDefault="0005652B">
            <w:pPr>
              <w:pStyle w:val="Normal2"/>
              <w:ind w:firstLine="0"/>
              <w:rPr>
                <w:sz w:val="20"/>
                <w:szCs w:val="20"/>
                <w:lang w:val="en-GB"/>
              </w:rPr>
            </w:pPr>
            <w:r>
              <w:rPr>
                <w:sz w:val="20"/>
                <w:szCs w:val="20"/>
                <w:lang w:val="en-GB"/>
              </w:rPr>
              <w:t xml:space="preserve">In the event that the functionalities of the processing may vary depending on the configuration of the processing or other factors, the different use cases should be </w:t>
            </w:r>
            <w:proofErr w:type="gramStart"/>
            <w:r>
              <w:rPr>
                <w:sz w:val="20"/>
                <w:szCs w:val="20"/>
                <w:lang w:val="en-GB"/>
              </w:rPr>
              <w:t>identified</w:t>
            </w:r>
            <w:proofErr w:type="gramEnd"/>
            <w:r>
              <w:rPr>
                <w:sz w:val="20"/>
                <w:szCs w:val="20"/>
                <w:lang w:val="en-GB"/>
              </w:rPr>
              <w:t xml:space="preserve"> and their differences marked. The identification of use cases, with examples, has been discussed in the </w:t>
            </w:r>
            <w:r w:rsidR="0017413E">
              <w:fldChar w:fldCharType="begin"/>
            </w:r>
            <w:r w:rsidR="0017413E" w:rsidRPr="00C1334D">
              <w:rPr>
                <w:lang w:val="en-US"/>
              </w:rPr>
              <w:instrText xml:space="preserve"> HYPERLINK "https://www.aepd.es/es/documento/risk-management-and-impact-assessment-in-processing-personal-data.pdf" \h </w:instrText>
            </w:r>
            <w:r w:rsidR="0017413E">
              <w:fldChar w:fldCharType="separate"/>
            </w:r>
            <w:r>
              <w:rPr>
                <w:rStyle w:val="EnlacedeInternet"/>
                <w:sz w:val="20"/>
                <w:szCs w:val="20"/>
                <w:lang w:val="en-GB"/>
              </w:rPr>
              <w:t>Guide</w:t>
            </w:r>
            <w:r w:rsidR="0017413E">
              <w:rPr>
                <w:rStyle w:val="EnlacedeInternet"/>
                <w:sz w:val="20"/>
                <w:szCs w:val="20"/>
                <w:lang w:val="en-GB"/>
              </w:rPr>
              <w:fldChar w:fldCharType="end"/>
            </w:r>
            <w:r>
              <w:rPr>
                <w:sz w:val="20"/>
                <w:szCs w:val="20"/>
                <w:lang w:val="en-GB"/>
              </w:rPr>
              <w:t xml:space="preserve"> (section V.E).</w:t>
            </w:r>
          </w:p>
        </w:tc>
      </w:tr>
      <w:tr w:rsidR="00DF5486" w:rsidRPr="00C1334D" w14:paraId="7D7D3849" w14:textId="77777777">
        <w:tc>
          <w:tcPr>
            <w:tcW w:w="3686" w:type="dxa"/>
            <w:shd w:val="clear" w:color="auto" w:fill="auto"/>
          </w:tcPr>
          <w:p w14:paraId="07E65305" w14:textId="77777777" w:rsidR="00DF5486" w:rsidRDefault="0005652B">
            <w:pPr>
              <w:pStyle w:val="Normal2"/>
              <w:ind w:firstLine="0"/>
              <w:rPr>
                <w:sz w:val="20"/>
                <w:szCs w:val="20"/>
                <w:lang w:val="en-GB"/>
              </w:rPr>
            </w:pPr>
            <w:r>
              <w:rPr>
                <w:sz w:val="20"/>
                <w:szCs w:val="20"/>
                <w:lang w:val="en-GB"/>
              </w:rPr>
              <w:t xml:space="preserve">7.6 The default privacy measures are identified and </w:t>
            </w:r>
            <w:proofErr w:type="gramStart"/>
            <w:r>
              <w:rPr>
                <w:sz w:val="20"/>
                <w:szCs w:val="20"/>
                <w:lang w:val="en-GB"/>
              </w:rPr>
              <w:t>documented</w:t>
            </w:r>
            <w:proofErr w:type="gramEnd"/>
            <w:r>
              <w:rPr>
                <w:sz w:val="20"/>
                <w:szCs w:val="20"/>
                <w:lang w:val="en-GB"/>
              </w:rPr>
              <w:t xml:space="preserve"> and their implementation is planned (art. 25.2 GDPR).</w:t>
            </w:r>
          </w:p>
        </w:tc>
        <w:tc>
          <w:tcPr>
            <w:tcW w:w="1672" w:type="dxa"/>
            <w:shd w:val="clear" w:color="auto" w:fill="auto"/>
            <w:vAlign w:val="center"/>
          </w:tcPr>
          <w:p w14:paraId="2A0B8C0F" w14:textId="77777777" w:rsidR="00DF5486" w:rsidRDefault="0005652B">
            <w:pPr>
              <w:pStyle w:val="Normal2"/>
              <w:ind w:firstLine="0"/>
              <w:jc w:val="center"/>
              <w:rPr>
                <w:sz w:val="16"/>
                <w:szCs w:val="18"/>
                <w:lang w:val="en-GB"/>
              </w:rPr>
            </w:pPr>
            <w:r>
              <w:rPr>
                <w:sz w:val="16"/>
                <w:szCs w:val="18"/>
                <w:lang w:val="en-GB"/>
              </w:rPr>
              <w:t>NO</w:t>
            </w:r>
          </w:p>
          <w:p w14:paraId="1808D97E" w14:textId="77777777" w:rsidR="00DF5486" w:rsidRDefault="0005652B">
            <w:pPr>
              <w:pStyle w:val="Normal2"/>
              <w:ind w:firstLine="0"/>
              <w:jc w:val="center"/>
              <w:rPr>
                <w:sz w:val="18"/>
                <w:szCs w:val="18"/>
                <w:lang w:val="en-GB"/>
              </w:rPr>
            </w:pPr>
            <w:r>
              <w:rPr>
                <w:sz w:val="16"/>
                <w:szCs w:val="18"/>
                <w:lang w:val="en-GB"/>
              </w:rPr>
              <w:t>YES, AND IT IS DEMONSTRATED</w:t>
            </w:r>
          </w:p>
        </w:tc>
        <w:tc>
          <w:tcPr>
            <w:tcW w:w="4848" w:type="dxa"/>
            <w:shd w:val="clear" w:color="auto" w:fill="auto"/>
          </w:tcPr>
          <w:p w14:paraId="268C7989" w14:textId="77777777" w:rsidR="00DF5486" w:rsidRDefault="0005652B">
            <w:pPr>
              <w:pStyle w:val="Normal2"/>
              <w:ind w:firstLine="0"/>
              <w:rPr>
                <w:sz w:val="20"/>
                <w:szCs w:val="20"/>
                <w:lang w:val="en-GB"/>
              </w:rPr>
            </w:pPr>
            <w:r>
              <w:rPr>
                <w:sz w:val="20"/>
                <w:szCs w:val="20"/>
                <w:lang w:val="en-GB"/>
              </w:rPr>
              <w:t>It is recommended to consult the following resources for help:</w:t>
            </w:r>
          </w:p>
          <w:p w14:paraId="761F5089" w14:textId="77777777" w:rsidR="00DF5486" w:rsidRDefault="0017413E">
            <w:pPr>
              <w:numPr>
                <w:ilvl w:val="0"/>
                <w:numId w:val="3"/>
              </w:numPr>
              <w:shd w:val="clear" w:color="auto" w:fill="FFFFFF"/>
              <w:tabs>
                <w:tab w:val="clear" w:pos="720"/>
                <w:tab w:val="left" w:pos="389"/>
              </w:tabs>
              <w:spacing w:beforeAutospacing="1" w:after="0" w:line="360" w:lineRule="atLeast"/>
              <w:ind w:left="389"/>
              <w:rPr>
                <w:rStyle w:val="EnlacedeInternet"/>
                <w:rFonts w:ascii="Arial" w:hAnsi="Arial" w:cs="Arial"/>
                <w:color w:val="auto"/>
                <w:sz w:val="20"/>
                <w:szCs w:val="20"/>
                <w:lang w:val="en-GB"/>
              </w:rPr>
            </w:pPr>
            <w:hyperlink r:id="rId16" w:tgtFrame="https://www.aepd.es/media/guias/guia-proteccion-datos-por-defecto.pdf">
              <w:r w:rsidR="0005652B">
                <w:rPr>
                  <w:rStyle w:val="EnlacedeInternet"/>
                  <w:rFonts w:ascii="Arial" w:hAnsi="Arial" w:cs="Arial"/>
                  <w:color w:val="auto"/>
                  <w:sz w:val="20"/>
                  <w:szCs w:val="20"/>
                  <w:lang w:val="en-GB"/>
                </w:rPr>
                <w:t>Default Data Protection Guide</w:t>
              </w:r>
            </w:hyperlink>
          </w:p>
          <w:p w14:paraId="2A619AD2" w14:textId="77777777" w:rsidR="00DF5486" w:rsidRDefault="0017413E">
            <w:pPr>
              <w:numPr>
                <w:ilvl w:val="0"/>
                <w:numId w:val="3"/>
              </w:numPr>
              <w:shd w:val="clear" w:color="auto" w:fill="FFFFFF"/>
              <w:tabs>
                <w:tab w:val="clear" w:pos="720"/>
                <w:tab w:val="left" w:pos="389"/>
              </w:tabs>
              <w:spacing w:after="0" w:line="360" w:lineRule="atLeast"/>
              <w:ind w:left="389"/>
              <w:rPr>
                <w:rFonts w:ascii="Arial" w:hAnsi="Arial" w:cs="Arial"/>
                <w:sz w:val="20"/>
                <w:szCs w:val="20"/>
                <w:lang w:val="en-GB"/>
              </w:rPr>
            </w:pPr>
            <w:r>
              <w:fldChar w:fldCharType="begin"/>
            </w:r>
            <w:r w:rsidRPr="00C1334D">
              <w:rPr>
                <w:lang w:val="en-US"/>
              </w:rPr>
              <w:instrText xml:space="preserve"> HYPERLINK "https://www.aepd.es/media/guias/PDpD-listado-medidas.xlsx" \t "https://www.aepd.es/media/guias/PDpD-listado-medidas.xlsx" \h </w:instrText>
            </w:r>
            <w:r>
              <w:fldChar w:fldCharType="separate"/>
            </w:r>
            <w:r w:rsidR="0005652B">
              <w:rPr>
                <w:rStyle w:val="EnlacedeInternet"/>
                <w:rFonts w:ascii="Arial" w:hAnsi="Arial" w:cs="Arial"/>
                <w:color w:val="auto"/>
                <w:sz w:val="20"/>
                <w:szCs w:val="20"/>
                <w:lang w:val="en-GB"/>
              </w:rPr>
              <w:t>Data protection by default: List of measures</w:t>
            </w:r>
            <w:r>
              <w:rPr>
                <w:rStyle w:val="EnlacedeInternet"/>
                <w:rFonts w:ascii="Arial" w:hAnsi="Arial" w:cs="Arial"/>
                <w:color w:val="auto"/>
                <w:sz w:val="20"/>
                <w:szCs w:val="20"/>
                <w:lang w:val="en-GB"/>
              </w:rPr>
              <w:fldChar w:fldCharType="end"/>
            </w:r>
          </w:p>
        </w:tc>
      </w:tr>
      <w:tr w:rsidR="00DF5486" w:rsidRPr="00C1334D" w14:paraId="6EBFE710" w14:textId="77777777">
        <w:tc>
          <w:tcPr>
            <w:tcW w:w="3686" w:type="dxa"/>
            <w:shd w:val="clear" w:color="auto" w:fill="auto"/>
          </w:tcPr>
          <w:p w14:paraId="47E54C18" w14:textId="77777777" w:rsidR="00DF5486" w:rsidRDefault="0005652B">
            <w:pPr>
              <w:pStyle w:val="Normal2"/>
              <w:ind w:firstLine="0"/>
              <w:rPr>
                <w:sz w:val="20"/>
                <w:szCs w:val="20"/>
                <w:lang w:val="en-GB"/>
              </w:rPr>
            </w:pPr>
            <w:r>
              <w:rPr>
                <w:sz w:val="20"/>
                <w:szCs w:val="20"/>
                <w:lang w:val="en-GB"/>
              </w:rPr>
              <w:t xml:space="preserve">7.7 Details of data transfers are included (Chapter V of the </w:t>
            </w:r>
            <w:r w:rsidR="0017413E">
              <w:fldChar w:fldCharType="begin"/>
            </w:r>
            <w:r w:rsidR="0017413E" w:rsidRPr="00C1334D">
              <w:rPr>
                <w:lang w:val="en-US"/>
              </w:rPr>
              <w:instrText xml:space="preserve"> HYPERLINK "https://www.aepd.es/es/documento/risk-management-and-impact-assessment-in-processing-personal-data.pdf" \h </w:instrText>
            </w:r>
            <w:r w:rsidR="0017413E">
              <w:fldChar w:fldCharType="separate"/>
            </w:r>
            <w:r>
              <w:rPr>
                <w:rStyle w:val="EnlacedeInternet"/>
                <w:sz w:val="20"/>
                <w:szCs w:val="20"/>
                <w:lang w:val="en-GB"/>
              </w:rPr>
              <w:t>Guide</w:t>
            </w:r>
            <w:r w:rsidR="0017413E">
              <w:rPr>
                <w:rStyle w:val="EnlacedeInternet"/>
                <w:sz w:val="20"/>
                <w:szCs w:val="20"/>
                <w:lang w:val="en-GB"/>
              </w:rPr>
              <w:fldChar w:fldCharType="end"/>
            </w:r>
            <w:r>
              <w:rPr>
                <w:sz w:val="20"/>
                <w:szCs w:val="20"/>
                <w:lang w:val="en-GB"/>
              </w:rPr>
              <w:t>).</w:t>
            </w:r>
          </w:p>
        </w:tc>
        <w:tc>
          <w:tcPr>
            <w:tcW w:w="1672" w:type="dxa"/>
            <w:shd w:val="clear" w:color="auto" w:fill="auto"/>
            <w:vAlign w:val="center"/>
          </w:tcPr>
          <w:p w14:paraId="42A50D0F" w14:textId="77777777" w:rsidR="00DF5486" w:rsidRDefault="0005652B">
            <w:pPr>
              <w:pStyle w:val="Normal2"/>
              <w:ind w:firstLine="0"/>
              <w:jc w:val="center"/>
              <w:rPr>
                <w:sz w:val="16"/>
                <w:szCs w:val="18"/>
                <w:lang w:val="en-GB"/>
              </w:rPr>
            </w:pPr>
            <w:r>
              <w:rPr>
                <w:sz w:val="16"/>
                <w:szCs w:val="18"/>
                <w:lang w:val="en-GB"/>
              </w:rPr>
              <w:t>NO</w:t>
            </w:r>
          </w:p>
          <w:p w14:paraId="50F2D835" w14:textId="77777777" w:rsidR="00DF5486" w:rsidRDefault="0005652B">
            <w:pPr>
              <w:pStyle w:val="Normal2"/>
              <w:ind w:firstLine="0"/>
              <w:jc w:val="center"/>
              <w:rPr>
                <w:sz w:val="18"/>
                <w:szCs w:val="18"/>
                <w:lang w:val="en-GB"/>
              </w:rPr>
            </w:pPr>
            <w:r>
              <w:rPr>
                <w:sz w:val="16"/>
                <w:szCs w:val="18"/>
                <w:lang w:val="en-GB"/>
              </w:rPr>
              <w:t>YES, AND IT IS DEMONSTRATED</w:t>
            </w:r>
          </w:p>
        </w:tc>
        <w:tc>
          <w:tcPr>
            <w:tcW w:w="4848" w:type="dxa"/>
            <w:shd w:val="clear" w:color="auto" w:fill="auto"/>
          </w:tcPr>
          <w:p w14:paraId="0F5D4857" w14:textId="77777777" w:rsidR="00DF5486" w:rsidRDefault="0005652B">
            <w:pPr>
              <w:pStyle w:val="Normal2"/>
              <w:ind w:firstLine="0"/>
              <w:rPr>
                <w:sz w:val="20"/>
                <w:szCs w:val="20"/>
                <w:lang w:val="en-GB"/>
              </w:rPr>
            </w:pPr>
            <w:r>
              <w:rPr>
                <w:sz w:val="20"/>
                <w:szCs w:val="20"/>
                <w:lang w:val="en-GB"/>
              </w:rPr>
              <w:t>The DPIA documentation includes a description of the transfers in relation to the purposes, to the life cycle of the processing, to the life cycle of the data and of the processing operations. All such recipients should be listed together with the functional description in which such transfers are carried out for each recipient.</w:t>
            </w:r>
          </w:p>
          <w:p w14:paraId="08ACF857" w14:textId="77777777" w:rsidR="00DF5486" w:rsidRDefault="0005652B">
            <w:pPr>
              <w:pStyle w:val="Normal2"/>
              <w:ind w:firstLine="0"/>
              <w:rPr>
                <w:sz w:val="20"/>
                <w:szCs w:val="20"/>
                <w:lang w:val="en-GB"/>
              </w:rPr>
            </w:pPr>
            <w:r>
              <w:rPr>
                <w:sz w:val="20"/>
                <w:szCs w:val="20"/>
                <w:lang w:val="en-GB"/>
              </w:rPr>
              <w:t>Link it to the legal bases legitimising such transfers described above.</w:t>
            </w:r>
          </w:p>
        </w:tc>
      </w:tr>
      <w:tr w:rsidR="00DF5486" w:rsidRPr="00C1334D" w14:paraId="552CFF65" w14:textId="77777777">
        <w:tc>
          <w:tcPr>
            <w:tcW w:w="3686" w:type="dxa"/>
            <w:shd w:val="clear" w:color="auto" w:fill="auto"/>
          </w:tcPr>
          <w:p w14:paraId="53103943" w14:textId="77777777" w:rsidR="00DF5486" w:rsidRDefault="0005652B">
            <w:pPr>
              <w:pStyle w:val="Normal2"/>
              <w:ind w:firstLine="0"/>
              <w:rPr>
                <w:sz w:val="20"/>
                <w:szCs w:val="20"/>
                <w:lang w:val="en-GB"/>
              </w:rPr>
            </w:pPr>
            <w:r>
              <w:rPr>
                <w:sz w:val="20"/>
                <w:szCs w:val="20"/>
                <w:lang w:val="en-GB"/>
              </w:rPr>
              <w:t>7.8 The certification mechanisms, seals and data protection marks that apply to the processing are described (Arts. 42 and 43 GDPR).</w:t>
            </w:r>
          </w:p>
        </w:tc>
        <w:tc>
          <w:tcPr>
            <w:tcW w:w="1672" w:type="dxa"/>
            <w:shd w:val="clear" w:color="auto" w:fill="auto"/>
            <w:vAlign w:val="center"/>
          </w:tcPr>
          <w:p w14:paraId="3071A146" w14:textId="77777777" w:rsidR="00DF5486" w:rsidRDefault="0005652B">
            <w:pPr>
              <w:pStyle w:val="Normal2"/>
              <w:ind w:firstLine="0"/>
              <w:jc w:val="center"/>
              <w:rPr>
                <w:sz w:val="16"/>
                <w:szCs w:val="18"/>
                <w:lang w:val="en-GB"/>
              </w:rPr>
            </w:pPr>
            <w:r>
              <w:rPr>
                <w:sz w:val="16"/>
                <w:szCs w:val="18"/>
                <w:lang w:val="en-GB"/>
              </w:rPr>
              <w:t>NO</w:t>
            </w:r>
          </w:p>
          <w:p w14:paraId="1244BD6B" w14:textId="77777777" w:rsidR="00DF5486" w:rsidRDefault="0005652B">
            <w:pPr>
              <w:pStyle w:val="Normal2"/>
              <w:ind w:firstLine="0"/>
              <w:jc w:val="center"/>
              <w:rPr>
                <w:sz w:val="18"/>
                <w:szCs w:val="18"/>
                <w:lang w:val="en-GB"/>
              </w:rPr>
            </w:pPr>
            <w:r>
              <w:rPr>
                <w:sz w:val="16"/>
                <w:szCs w:val="18"/>
                <w:lang w:val="en-GB"/>
              </w:rPr>
              <w:t>YES, AND IT IS DEMONSTRATED</w:t>
            </w:r>
          </w:p>
        </w:tc>
        <w:tc>
          <w:tcPr>
            <w:tcW w:w="4848" w:type="dxa"/>
            <w:shd w:val="clear" w:color="auto" w:fill="auto"/>
          </w:tcPr>
          <w:p w14:paraId="7223742E" w14:textId="77777777" w:rsidR="00DF5486" w:rsidRDefault="0005652B">
            <w:pPr>
              <w:pStyle w:val="Normal2"/>
              <w:ind w:firstLine="0"/>
              <w:rPr>
                <w:sz w:val="20"/>
                <w:szCs w:val="20"/>
                <w:lang w:val="en-GB"/>
              </w:rPr>
            </w:pPr>
            <w:proofErr w:type="gramStart"/>
            <w:r>
              <w:rPr>
                <w:sz w:val="20"/>
                <w:szCs w:val="20"/>
                <w:lang w:val="en-GB"/>
              </w:rPr>
              <w:t>In the event that</w:t>
            </w:r>
            <w:proofErr w:type="gramEnd"/>
            <w:r>
              <w:rPr>
                <w:sz w:val="20"/>
                <w:szCs w:val="20"/>
                <w:lang w:val="en-GB"/>
              </w:rPr>
              <w:t xml:space="preserve"> there are data protection certifications, seals and marks applicable to the processing, the scope of such certifications, seals and marks must be detailed, along with the documentation accrediting that they are in force and detailing the procedures that make it possible to demonstrate that the processing complies with the requirements of the data protection certification, seals and marks.</w:t>
            </w:r>
          </w:p>
        </w:tc>
      </w:tr>
      <w:tr w:rsidR="00DF5486" w:rsidRPr="00C1334D" w14:paraId="58ECBC64" w14:textId="77777777">
        <w:tc>
          <w:tcPr>
            <w:tcW w:w="3686" w:type="dxa"/>
            <w:shd w:val="clear" w:color="auto" w:fill="auto"/>
          </w:tcPr>
          <w:p w14:paraId="3A4EBB1B" w14:textId="77777777" w:rsidR="00DF5486" w:rsidRDefault="0005652B">
            <w:pPr>
              <w:pStyle w:val="Normal2"/>
              <w:ind w:firstLine="0"/>
              <w:rPr>
                <w:sz w:val="20"/>
                <w:szCs w:val="20"/>
                <w:lang w:val="en-GB"/>
              </w:rPr>
            </w:pPr>
            <w:r>
              <w:rPr>
                <w:sz w:val="20"/>
                <w:szCs w:val="20"/>
                <w:lang w:val="en-GB"/>
              </w:rPr>
              <w:t>7.9 The codes of conduct on which the processing is based are identified (Art. 35.8 GDPR).</w:t>
            </w:r>
          </w:p>
        </w:tc>
        <w:tc>
          <w:tcPr>
            <w:tcW w:w="1672" w:type="dxa"/>
            <w:shd w:val="clear" w:color="auto" w:fill="auto"/>
            <w:vAlign w:val="center"/>
          </w:tcPr>
          <w:p w14:paraId="796CC67C" w14:textId="77777777" w:rsidR="00DF5486" w:rsidRDefault="0005652B">
            <w:pPr>
              <w:pStyle w:val="Normal2"/>
              <w:ind w:firstLine="0"/>
              <w:jc w:val="center"/>
              <w:rPr>
                <w:sz w:val="16"/>
                <w:szCs w:val="18"/>
                <w:lang w:val="en-GB"/>
              </w:rPr>
            </w:pPr>
            <w:r>
              <w:rPr>
                <w:sz w:val="16"/>
                <w:szCs w:val="18"/>
                <w:lang w:val="en-GB"/>
              </w:rPr>
              <w:t>NO</w:t>
            </w:r>
          </w:p>
          <w:p w14:paraId="5D076E6B" w14:textId="77777777" w:rsidR="00DF5486" w:rsidRDefault="0005652B">
            <w:pPr>
              <w:pStyle w:val="Normal2"/>
              <w:ind w:firstLine="0"/>
              <w:jc w:val="center"/>
              <w:rPr>
                <w:sz w:val="18"/>
                <w:szCs w:val="18"/>
                <w:lang w:val="en-GB"/>
              </w:rPr>
            </w:pPr>
            <w:r>
              <w:rPr>
                <w:sz w:val="16"/>
                <w:szCs w:val="18"/>
                <w:lang w:val="en-GB"/>
              </w:rPr>
              <w:t>YES, AND IT IS DEMONSTRATED</w:t>
            </w:r>
          </w:p>
        </w:tc>
        <w:tc>
          <w:tcPr>
            <w:tcW w:w="4848" w:type="dxa"/>
            <w:shd w:val="clear" w:color="auto" w:fill="auto"/>
          </w:tcPr>
          <w:p w14:paraId="0123E3F4" w14:textId="77777777" w:rsidR="00DF5486" w:rsidRDefault="0005652B">
            <w:pPr>
              <w:pStyle w:val="Normal2"/>
              <w:ind w:firstLine="0"/>
              <w:rPr>
                <w:sz w:val="20"/>
                <w:szCs w:val="20"/>
                <w:lang w:val="en-GB"/>
              </w:rPr>
            </w:pPr>
            <w:r>
              <w:rPr>
                <w:sz w:val="20"/>
                <w:szCs w:val="20"/>
                <w:lang w:val="en-GB"/>
              </w:rPr>
              <w:t>Where applicable, codes of conduct to which the controller has adhered in relation to the intended processing should be included.</w:t>
            </w:r>
          </w:p>
        </w:tc>
      </w:tr>
    </w:tbl>
    <w:p w14:paraId="0D041D60" w14:textId="77777777" w:rsidR="00DF5486" w:rsidRDefault="0005652B">
      <w:pPr>
        <w:spacing w:after="0" w:line="240" w:lineRule="auto"/>
        <w:rPr>
          <w:rFonts w:ascii="Arial" w:hAnsi="Arial" w:cs="Arial"/>
          <w:sz w:val="20"/>
          <w:szCs w:val="20"/>
          <w:lang w:val="en-GB"/>
        </w:rPr>
      </w:pPr>
      <w:r w:rsidRPr="00CD0BE3">
        <w:rPr>
          <w:lang w:val="en-US"/>
        </w:rPr>
        <w:br w:type="page"/>
      </w:r>
    </w:p>
    <w:p w14:paraId="71E7B108" w14:textId="77777777" w:rsidR="00DF5486" w:rsidRDefault="00DF5486">
      <w:pPr>
        <w:pStyle w:val="Normal2"/>
        <w:rPr>
          <w:sz w:val="20"/>
          <w:szCs w:val="20"/>
          <w:lang w:val="en-GB"/>
        </w:rPr>
      </w:pPr>
    </w:p>
    <w:p w14:paraId="607F72D8" w14:textId="77777777" w:rsidR="00DF5486" w:rsidRDefault="0005652B">
      <w:pPr>
        <w:pStyle w:val="Ttulo2"/>
        <w:rPr>
          <w:lang w:val="en-GB"/>
        </w:rPr>
      </w:pPr>
      <w:r>
        <w:rPr>
          <w:lang w:val="en-GB"/>
        </w:rPr>
        <w:t>There is an analysis of obligation and an analysis of necessity to carry out the DPIA (art. 35 GDPR, wp248, others, Fifth.5.h of Instruction 1/2021).</w:t>
      </w:r>
    </w:p>
    <w:p w14:paraId="1465BAE3" w14:textId="77777777" w:rsidR="00DF5486" w:rsidRDefault="00DF5486">
      <w:pPr>
        <w:pStyle w:val="Normal2"/>
        <w:rPr>
          <w:lang w:val="en-GB"/>
        </w:rPr>
      </w:pPr>
    </w:p>
    <w:tbl>
      <w:tblPr>
        <w:tblStyle w:val="Tablaconcuadrcula"/>
        <w:tblW w:w="10206" w:type="dxa"/>
        <w:tblInd w:w="-572" w:type="dxa"/>
        <w:tblLayout w:type="fixed"/>
        <w:tblLook w:val="04A0" w:firstRow="1" w:lastRow="0" w:firstColumn="1" w:lastColumn="0" w:noHBand="0" w:noVBand="1"/>
      </w:tblPr>
      <w:tblGrid>
        <w:gridCol w:w="3686"/>
        <w:gridCol w:w="1672"/>
        <w:gridCol w:w="4848"/>
      </w:tblGrid>
      <w:tr w:rsidR="00DF5486" w:rsidRPr="00C1334D" w14:paraId="065CF575" w14:textId="77777777">
        <w:tc>
          <w:tcPr>
            <w:tcW w:w="3686" w:type="dxa"/>
            <w:shd w:val="clear" w:color="auto" w:fill="FFDE93"/>
          </w:tcPr>
          <w:p w14:paraId="1DBF57F4" w14:textId="77777777" w:rsidR="00DF5486" w:rsidRDefault="0005652B">
            <w:pPr>
              <w:pStyle w:val="Normal2"/>
              <w:ind w:firstLine="0"/>
              <w:jc w:val="center"/>
              <w:rPr>
                <w:b/>
                <w:bCs/>
                <w:sz w:val="20"/>
                <w:szCs w:val="20"/>
                <w:lang w:val="en-GB"/>
              </w:rPr>
            </w:pPr>
            <w:r>
              <w:rPr>
                <w:b/>
                <w:bCs/>
                <w:sz w:val="20"/>
                <w:szCs w:val="20"/>
                <w:lang w:val="en-GB"/>
              </w:rPr>
              <w:t>ELEMENTS OF VERIFICATION</w:t>
            </w:r>
          </w:p>
        </w:tc>
        <w:tc>
          <w:tcPr>
            <w:tcW w:w="1672" w:type="dxa"/>
            <w:shd w:val="clear" w:color="auto" w:fill="FFDE93"/>
          </w:tcPr>
          <w:p w14:paraId="509DFC0A" w14:textId="77777777" w:rsidR="00DF5486" w:rsidRDefault="0005652B">
            <w:pPr>
              <w:pStyle w:val="Normal2"/>
              <w:ind w:firstLine="0"/>
              <w:jc w:val="center"/>
              <w:rPr>
                <w:b/>
                <w:bCs/>
                <w:sz w:val="18"/>
                <w:szCs w:val="18"/>
                <w:lang w:val="en-GB"/>
              </w:rPr>
            </w:pPr>
            <w:r>
              <w:rPr>
                <w:b/>
                <w:bCs/>
                <w:sz w:val="18"/>
                <w:szCs w:val="18"/>
                <w:lang w:val="en-GB"/>
              </w:rPr>
              <w:t>CHECK</w:t>
            </w:r>
          </w:p>
        </w:tc>
        <w:tc>
          <w:tcPr>
            <w:tcW w:w="4848" w:type="dxa"/>
            <w:shd w:val="clear" w:color="auto" w:fill="FFDE93"/>
          </w:tcPr>
          <w:p w14:paraId="57DAE1A6" w14:textId="77777777" w:rsidR="00DF5486" w:rsidRDefault="0005652B">
            <w:pPr>
              <w:pStyle w:val="Normal2"/>
              <w:ind w:firstLine="0"/>
              <w:jc w:val="center"/>
              <w:rPr>
                <w:b/>
                <w:bCs/>
                <w:sz w:val="20"/>
                <w:szCs w:val="20"/>
                <w:lang w:val="en-GB"/>
              </w:rPr>
            </w:pPr>
            <w:r>
              <w:rPr>
                <w:b/>
                <w:bCs/>
                <w:sz w:val="20"/>
                <w:szCs w:val="20"/>
                <w:lang w:val="en-GB"/>
              </w:rPr>
              <w:t>COMMENTS</w:t>
            </w:r>
          </w:p>
          <w:p w14:paraId="030F8B3B" w14:textId="77777777" w:rsidR="00DF5486" w:rsidRDefault="0005652B">
            <w:pPr>
              <w:pStyle w:val="Normal2"/>
              <w:ind w:firstLine="0"/>
              <w:jc w:val="center"/>
              <w:rPr>
                <w:sz w:val="20"/>
                <w:szCs w:val="20"/>
                <w:lang w:val="en-GB"/>
              </w:rPr>
            </w:pPr>
            <w:r>
              <w:rPr>
                <w:sz w:val="20"/>
                <w:szCs w:val="20"/>
                <w:lang w:val="en-GB"/>
              </w:rPr>
              <w:t>(</w:t>
            </w:r>
            <w:proofErr w:type="gramStart"/>
            <w:r>
              <w:rPr>
                <w:sz w:val="20"/>
                <w:szCs w:val="20"/>
                <w:lang w:val="en-GB"/>
              </w:rPr>
              <w:t>replace</w:t>
            </w:r>
            <w:proofErr w:type="gramEnd"/>
            <w:r>
              <w:rPr>
                <w:sz w:val="20"/>
                <w:szCs w:val="20"/>
                <w:lang w:val="en-GB"/>
              </w:rPr>
              <w:t xml:space="preserve"> these comments with the appropriate ones in each case)</w:t>
            </w:r>
          </w:p>
        </w:tc>
      </w:tr>
      <w:tr w:rsidR="00DF5486" w:rsidRPr="00C1334D" w14:paraId="56829FA9" w14:textId="77777777">
        <w:tc>
          <w:tcPr>
            <w:tcW w:w="3686" w:type="dxa"/>
          </w:tcPr>
          <w:p w14:paraId="374144A0" w14:textId="77777777" w:rsidR="00DF5486" w:rsidRDefault="0005652B">
            <w:pPr>
              <w:pStyle w:val="Normal2"/>
              <w:ind w:firstLine="0"/>
              <w:rPr>
                <w:sz w:val="20"/>
                <w:szCs w:val="20"/>
                <w:lang w:val="en-GB"/>
              </w:rPr>
            </w:pPr>
            <w:r>
              <w:rPr>
                <w:sz w:val="20"/>
                <w:szCs w:val="20"/>
                <w:lang w:val="en-GB"/>
              </w:rPr>
              <w:t>8.1 The processing is covered by the list in Art. 35.3 GDPR, the Guidelines document (WP248), other Guidelines or opinions of the European Data Protection Committee, or the conditions in the lists in Art. 35.4 GDPR which imply the obligation to carry out the DPIA.</w:t>
            </w:r>
          </w:p>
        </w:tc>
        <w:tc>
          <w:tcPr>
            <w:tcW w:w="1672" w:type="dxa"/>
            <w:vAlign w:val="center"/>
          </w:tcPr>
          <w:p w14:paraId="5DF284A8" w14:textId="77777777" w:rsidR="00DF5486" w:rsidRDefault="0005652B">
            <w:pPr>
              <w:pStyle w:val="Normal2"/>
              <w:ind w:firstLine="0"/>
              <w:jc w:val="center"/>
              <w:rPr>
                <w:sz w:val="16"/>
                <w:szCs w:val="18"/>
                <w:lang w:val="en-GB"/>
              </w:rPr>
            </w:pPr>
            <w:r>
              <w:rPr>
                <w:sz w:val="16"/>
                <w:szCs w:val="18"/>
                <w:lang w:val="en-GB"/>
              </w:rPr>
              <w:t>NO</w:t>
            </w:r>
          </w:p>
          <w:p w14:paraId="3BD80A15" w14:textId="77777777" w:rsidR="00DF5486" w:rsidRDefault="0005652B">
            <w:pPr>
              <w:pStyle w:val="Normal2"/>
              <w:ind w:firstLine="0"/>
              <w:jc w:val="center"/>
              <w:rPr>
                <w:sz w:val="18"/>
                <w:szCs w:val="18"/>
                <w:lang w:val="en-GB"/>
              </w:rPr>
            </w:pPr>
            <w:r>
              <w:rPr>
                <w:sz w:val="16"/>
                <w:szCs w:val="18"/>
                <w:lang w:val="en-GB"/>
              </w:rPr>
              <w:t>YES, AND IT IS DEMONSTRATED</w:t>
            </w:r>
          </w:p>
        </w:tc>
        <w:tc>
          <w:tcPr>
            <w:tcW w:w="4848" w:type="dxa"/>
          </w:tcPr>
          <w:p w14:paraId="6A07946E" w14:textId="77777777" w:rsidR="00DF5486" w:rsidRDefault="0005652B">
            <w:pPr>
              <w:pStyle w:val="Normal2"/>
              <w:ind w:firstLine="0"/>
              <w:rPr>
                <w:sz w:val="20"/>
                <w:szCs w:val="20"/>
                <w:lang w:val="en-GB"/>
              </w:rPr>
            </w:pPr>
            <w:r>
              <w:rPr>
                <w:sz w:val="20"/>
                <w:szCs w:val="20"/>
                <w:lang w:val="en-GB"/>
              </w:rPr>
              <w:t>The DPIA documentation determines the criteria according to which the controller considers that the controller is obliged to carry out a DPIA.</w:t>
            </w:r>
          </w:p>
          <w:p w14:paraId="3FD620C5" w14:textId="77777777" w:rsidR="00DF5486" w:rsidRDefault="0005652B">
            <w:pPr>
              <w:pStyle w:val="Normal2"/>
              <w:ind w:firstLine="0"/>
              <w:rPr>
                <w:sz w:val="20"/>
                <w:szCs w:val="20"/>
                <w:lang w:val="en-GB"/>
              </w:rPr>
            </w:pPr>
            <w:r>
              <w:rPr>
                <w:sz w:val="20"/>
                <w:szCs w:val="20"/>
                <w:lang w:val="en-GB"/>
              </w:rPr>
              <w:t xml:space="preserve">Include the regulation and the section detailing the obligation to carry out the PIA for the </w:t>
            </w:r>
            <w:proofErr w:type="gramStart"/>
            <w:r>
              <w:rPr>
                <w:sz w:val="20"/>
                <w:szCs w:val="20"/>
                <w:lang w:val="en-GB"/>
              </w:rPr>
              <w:t>particular processing</w:t>
            </w:r>
            <w:proofErr w:type="gramEnd"/>
            <w:r>
              <w:rPr>
                <w:sz w:val="20"/>
                <w:szCs w:val="20"/>
                <w:lang w:val="en-GB"/>
              </w:rPr>
              <w:t>.</w:t>
            </w:r>
          </w:p>
          <w:p w14:paraId="14B3F31F" w14:textId="77777777" w:rsidR="00DF5486" w:rsidRDefault="0005652B">
            <w:pPr>
              <w:pStyle w:val="Normal2"/>
              <w:ind w:firstLine="0"/>
              <w:rPr>
                <w:sz w:val="20"/>
                <w:szCs w:val="20"/>
                <w:lang w:val="en-GB"/>
              </w:rPr>
            </w:pPr>
            <w:r>
              <w:rPr>
                <w:sz w:val="20"/>
                <w:szCs w:val="20"/>
                <w:lang w:val="en-GB"/>
              </w:rPr>
              <w:t>If applicable, include the specific/sectoral regulations that imply the obligation to carry out the PFIA.</w:t>
            </w:r>
          </w:p>
        </w:tc>
      </w:tr>
      <w:tr w:rsidR="00DF5486" w:rsidRPr="00C1334D" w14:paraId="1A62EDFD" w14:textId="77777777">
        <w:tc>
          <w:tcPr>
            <w:tcW w:w="3686" w:type="dxa"/>
          </w:tcPr>
          <w:p w14:paraId="6C340775" w14:textId="77777777" w:rsidR="00DF5486" w:rsidRDefault="0005652B">
            <w:pPr>
              <w:pStyle w:val="Normal2"/>
              <w:ind w:firstLine="0"/>
              <w:rPr>
                <w:sz w:val="20"/>
                <w:szCs w:val="20"/>
                <w:lang w:val="en-GB"/>
              </w:rPr>
            </w:pPr>
            <w:r>
              <w:rPr>
                <w:sz w:val="20"/>
                <w:szCs w:val="20"/>
                <w:lang w:val="en-GB"/>
              </w:rPr>
              <w:t xml:space="preserve">8.2 In accordance with art. 35.1 GDPR, and with the </w:t>
            </w:r>
            <w:r w:rsidR="0017413E">
              <w:fldChar w:fldCharType="begin"/>
            </w:r>
            <w:r w:rsidR="0017413E" w:rsidRPr="00C1334D">
              <w:rPr>
                <w:lang w:val="en-US"/>
              </w:rPr>
              <w:instrText xml:space="preserve"> HYPERLINK "https://www.aepd.es/es/documento/risk-management-and-impact-assessment-in-processing-personal-data.pdf" \h </w:instrText>
            </w:r>
            <w:r w:rsidR="0017413E">
              <w:fldChar w:fldCharType="separate"/>
            </w:r>
            <w:r>
              <w:rPr>
                <w:rStyle w:val="EnlacedeInternet"/>
                <w:sz w:val="20"/>
                <w:szCs w:val="20"/>
                <w:lang w:val="en-GB"/>
              </w:rPr>
              <w:t>Guide</w:t>
            </w:r>
            <w:r w:rsidR="0017413E">
              <w:rPr>
                <w:rStyle w:val="EnlacedeInternet"/>
                <w:sz w:val="20"/>
                <w:szCs w:val="20"/>
                <w:lang w:val="en-GB"/>
              </w:rPr>
              <w:fldChar w:fldCharType="end"/>
            </w:r>
            <w:r>
              <w:rPr>
                <w:sz w:val="20"/>
                <w:szCs w:val="20"/>
                <w:lang w:val="en-GB"/>
              </w:rPr>
              <w:t>, there are risk factors identified by the data controller that make the DPIA mandatory.</w:t>
            </w:r>
          </w:p>
        </w:tc>
        <w:tc>
          <w:tcPr>
            <w:tcW w:w="1672" w:type="dxa"/>
            <w:vAlign w:val="center"/>
          </w:tcPr>
          <w:p w14:paraId="230F1761" w14:textId="77777777" w:rsidR="00DF5486" w:rsidRDefault="0005652B">
            <w:pPr>
              <w:pStyle w:val="Normal2"/>
              <w:ind w:firstLine="0"/>
              <w:jc w:val="center"/>
              <w:rPr>
                <w:sz w:val="16"/>
                <w:szCs w:val="18"/>
                <w:lang w:val="en-GB"/>
              </w:rPr>
            </w:pPr>
            <w:r>
              <w:rPr>
                <w:sz w:val="16"/>
                <w:szCs w:val="18"/>
                <w:lang w:val="en-GB"/>
              </w:rPr>
              <w:t>NO</w:t>
            </w:r>
          </w:p>
          <w:p w14:paraId="1500B217" w14:textId="77777777" w:rsidR="00DF5486" w:rsidRDefault="0005652B">
            <w:pPr>
              <w:pStyle w:val="Normal2"/>
              <w:ind w:firstLine="0"/>
              <w:jc w:val="center"/>
              <w:rPr>
                <w:sz w:val="18"/>
                <w:szCs w:val="18"/>
                <w:lang w:val="en-GB"/>
              </w:rPr>
            </w:pPr>
            <w:r>
              <w:rPr>
                <w:sz w:val="16"/>
                <w:szCs w:val="18"/>
                <w:lang w:val="en-GB"/>
              </w:rPr>
              <w:t>YES, AND IT IS DEMONSTRATED</w:t>
            </w:r>
          </w:p>
        </w:tc>
        <w:tc>
          <w:tcPr>
            <w:tcW w:w="4848" w:type="dxa"/>
          </w:tcPr>
          <w:p w14:paraId="56BCEBA1" w14:textId="77777777" w:rsidR="00DF5486" w:rsidRDefault="0005652B">
            <w:pPr>
              <w:pStyle w:val="Normal2"/>
              <w:ind w:firstLine="0"/>
              <w:rPr>
                <w:sz w:val="20"/>
                <w:szCs w:val="20"/>
                <w:lang w:val="en-GB"/>
              </w:rPr>
            </w:pPr>
            <w:r>
              <w:rPr>
                <w:sz w:val="20"/>
                <w:szCs w:val="20"/>
                <w:lang w:val="en-GB"/>
              </w:rPr>
              <w:t>Details of the risk factors identified in the processing that make the DPIA mandatory are included in the DPIA documentation.</w:t>
            </w:r>
          </w:p>
          <w:p w14:paraId="28A86013" w14:textId="77777777" w:rsidR="00DF5486" w:rsidRDefault="0005652B">
            <w:pPr>
              <w:pStyle w:val="Normal2"/>
              <w:ind w:firstLine="0"/>
              <w:rPr>
                <w:sz w:val="20"/>
                <w:szCs w:val="20"/>
                <w:lang w:val="en-GB"/>
              </w:rPr>
            </w:pPr>
            <w:r>
              <w:rPr>
                <w:sz w:val="20"/>
                <w:szCs w:val="20"/>
                <w:lang w:val="en-GB"/>
              </w:rPr>
              <w:t xml:space="preserve">In particular, it is recommended to make use of the AEPD's </w:t>
            </w:r>
            <w:r w:rsidR="0017413E">
              <w:fldChar w:fldCharType="begin"/>
            </w:r>
            <w:r w:rsidR="0017413E" w:rsidRPr="00C1334D">
              <w:rPr>
                <w:lang w:val="en-US"/>
              </w:rPr>
              <w:instrText xml:space="preserve"> HYPERLINK "https://www.ae</w:instrText>
            </w:r>
            <w:r w:rsidR="0017413E" w:rsidRPr="00C1334D">
              <w:rPr>
                <w:lang w:val="en-US"/>
              </w:rPr>
              <w:instrText xml:space="preserve">pd.es/es/guias-y-herramientas/herramientas/evalua-riesgo-rgpd" \t "https://www.aepd.es/es/guias-y-herramientas/herramientas/evalua-riesgo-rgpd" \h </w:instrText>
            </w:r>
            <w:r w:rsidR="0017413E">
              <w:fldChar w:fldCharType="separate"/>
            </w:r>
            <w:r>
              <w:rPr>
                <w:rStyle w:val="EnlacedeInternet"/>
                <w:color w:val="auto"/>
                <w:sz w:val="20"/>
                <w:szCs w:val="20"/>
                <w:lang w:val="en-GB"/>
              </w:rPr>
              <w:t>EVALUA-RIESGO RGDP tool for the analysis of risk factors</w:t>
            </w:r>
            <w:r w:rsidR="0017413E">
              <w:rPr>
                <w:rStyle w:val="EnlacedeInternet"/>
                <w:color w:val="auto"/>
                <w:sz w:val="20"/>
                <w:szCs w:val="20"/>
                <w:lang w:val="en-GB"/>
              </w:rPr>
              <w:fldChar w:fldCharType="end"/>
            </w:r>
            <w:r>
              <w:rPr>
                <w:rStyle w:val="EnlacedeInternet"/>
                <w:color w:val="auto"/>
                <w:sz w:val="20"/>
                <w:szCs w:val="20"/>
                <w:lang w:val="en-GB"/>
              </w:rPr>
              <w:t>.</w:t>
            </w:r>
          </w:p>
          <w:p w14:paraId="5E7A718C" w14:textId="77777777" w:rsidR="00DF5486" w:rsidRDefault="00DF5486">
            <w:pPr>
              <w:pStyle w:val="Normal2"/>
              <w:ind w:firstLine="0"/>
              <w:rPr>
                <w:sz w:val="20"/>
                <w:szCs w:val="20"/>
                <w:lang w:val="en-GB"/>
              </w:rPr>
            </w:pPr>
          </w:p>
        </w:tc>
      </w:tr>
      <w:tr w:rsidR="00DF5486" w:rsidRPr="00C1334D" w14:paraId="56269C0E" w14:textId="77777777">
        <w:tc>
          <w:tcPr>
            <w:tcW w:w="3686" w:type="dxa"/>
          </w:tcPr>
          <w:p w14:paraId="6050CC7D" w14:textId="77777777" w:rsidR="00DF5486" w:rsidRDefault="0005652B">
            <w:pPr>
              <w:pStyle w:val="Normal2"/>
              <w:ind w:firstLine="0"/>
              <w:rPr>
                <w:sz w:val="20"/>
                <w:szCs w:val="20"/>
                <w:lang w:val="en-GB"/>
              </w:rPr>
            </w:pPr>
            <w:r>
              <w:rPr>
                <w:sz w:val="20"/>
                <w:szCs w:val="20"/>
                <w:lang w:val="en-GB"/>
              </w:rPr>
              <w:t xml:space="preserve">8.3 In accordance with art. 35.1 GDPR, and with the </w:t>
            </w:r>
            <w:r w:rsidR="0017413E">
              <w:fldChar w:fldCharType="begin"/>
            </w:r>
            <w:r w:rsidR="0017413E" w:rsidRPr="00C1334D">
              <w:rPr>
                <w:lang w:val="en-US"/>
              </w:rPr>
              <w:instrText xml:space="preserve"> HYPERLINK "https://www.aepd.es/es/documento/risk-management-and-impact-assessment-in-processing-personal-data.pdf" \h </w:instrText>
            </w:r>
            <w:r w:rsidR="0017413E">
              <w:fldChar w:fldCharType="separate"/>
            </w:r>
            <w:r>
              <w:rPr>
                <w:rStyle w:val="EnlacedeInternet"/>
                <w:sz w:val="20"/>
                <w:szCs w:val="20"/>
                <w:lang w:val="en-GB"/>
              </w:rPr>
              <w:t>Guide</w:t>
            </w:r>
            <w:r w:rsidR="0017413E">
              <w:rPr>
                <w:rStyle w:val="EnlacedeInternet"/>
                <w:sz w:val="20"/>
                <w:szCs w:val="20"/>
                <w:lang w:val="en-GB"/>
              </w:rPr>
              <w:fldChar w:fldCharType="end"/>
            </w:r>
            <w:r>
              <w:rPr>
                <w:sz w:val="20"/>
                <w:szCs w:val="20"/>
                <w:lang w:val="en-GB"/>
              </w:rPr>
              <w:t>, no risk factors have been identified that make the DPIA mandatory, but in the opinion of the data controller the DPIA is necessary and justified on specific grounds.</w:t>
            </w:r>
          </w:p>
        </w:tc>
        <w:tc>
          <w:tcPr>
            <w:tcW w:w="1672" w:type="dxa"/>
            <w:vAlign w:val="center"/>
          </w:tcPr>
          <w:p w14:paraId="16C1BF7D" w14:textId="77777777" w:rsidR="00DF5486" w:rsidRDefault="0005652B">
            <w:pPr>
              <w:pStyle w:val="Normal2"/>
              <w:ind w:firstLine="0"/>
              <w:jc w:val="center"/>
              <w:rPr>
                <w:sz w:val="16"/>
                <w:szCs w:val="18"/>
                <w:lang w:val="en-GB"/>
              </w:rPr>
            </w:pPr>
            <w:r>
              <w:rPr>
                <w:sz w:val="16"/>
                <w:szCs w:val="18"/>
                <w:lang w:val="en-GB"/>
              </w:rPr>
              <w:t>NO</w:t>
            </w:r>
          </w:p>
          <w:p w14:paraId="21DBDD5A" w14:textId="77777777" w:rsidR="00DF5486" w:rsidRDefault="0005652B">
            <w:pPr>
              <w:pStyle w:val="Normal2"/>
              <w:ind w:firstLine="0"/>
              <w:jc w:val="center"/>
              <w:rPr>
                <w:sz w:val="18"/>
                <w:szCs w:val="18"/>
                <w:lang w:val="en-GB"/>
              </w:rPr>
            </w:pPr>
            <w:r>
              <w:rPr>
                <w:sz w:val="16"/>
                <w:szCs w:val="18"/>
                <w:lang w:val="en-GB"/>
              </w:rPr>
              <w:t>YES, AND IT IS DEMONSTRATED</w:t>
            </w:r>
          </w:p>
        </w:tc>
        <w:tc>
          <w:tcPr>
            <w:tcW w:w="4848" w:type="dxa"/>
          </w:tcPr>
          <w:p w14:paraId="0AC78F5A" w14:textId="77777777" w:rsidR="00DF5486" w:rsidRDefault="0005652B">
            <w:pPr>
              <w:pStyle w:val="Normal2"/>
              <w:ind w:firstLine="0"/>
              <w:rPr>
                <w:sz w:val="20"/>
                <w:szCs w:val="20"/>
                <w:lang w:val="en-GB"/>
              </w:rPr>
            </w:pPr>
            <w:r>
              <w:rPr>
                <w:sz w:val="20"/>
                <w:szCs w:val="20"/>
                <w:lang w:val="en-GB"/>
              </w:rPr>
              <w:t>A DPIA may not be mandatory. Even so, it may be the case that the controller assumes that it is necessary to carry out a DPIA.</w:t>
            </w:r>
          </w:p>
          <w:p w14:paraId="24D33861" w14:textId="77777777" w:rsidR="00DF5486" w:rsidRDefault="0005652B">
            <w:pPr>
              <w:pStyle w:val="Normal2"/>
              <w:ind w:firstLine="0"/>
              <w:rPr>
                <w:sz w:val="20"/>
                <w:szCs w:val="20"/>
                <w:lang w:val="en-GB"/>
              </w:rPr>
            </w:pPr>
            <w:r>
              <w:rPr>
                <w:sz w:val="20"/>
                <w:szCs w:val="20"/>
                <w:lang w:val="en-GB"/>
              </w:rPr>
              <w:t>In that case, the documentation of the DPIA should include details of other risk factors identified in the processing, data protection policies or other elements why the controller considers it necessary to perform the DPIA (</w:t>
            </w:r>
            <w:proofErr w:type="gramStart"/>
            <w:r>
              <w:rPr>
                <w:sz w:val="20"/>
                <w:szCs w:val="20"/>
                <w:lang w:val="en-GB"/>
              </w:rPr>
              <w:t>e.g.</w:t>
            </w:r>
            <w:proofErr w:type="gramEnd"/>
            <w:r>
              <w:rPr>
                <w:sz w:val="20"/>
                <w:szCs w:val="20"/>
                <w:lang w:val="en-GB"/>
              </w:rPr>
              <w:t xml:space="preserve"> the organisation has a data protection policy that requires the implementation of the DPIA for the processing, there are certification requirements or codes of conduct that require it, transparency or others).</w:t>
            </w:r>
          </w:p>
        </w:tc>
      </w:tr>
    </w:tbl>
    <w:p w14:paraId="223DB57B" w14:textId="77777777" w:rsidR="00DF5486" w:rsidRDefault="00DF5486">
      <w:pPr>
        <w:rPr>
          <w:lang w:val="en-GB"/>
        </w:rPr>
      </w:pPr>
    </w:p>
    <w:p w14:paraId="3467F4D8" w14:textId="77777777" w:rsidR="00DF5486" w:rsidRDefault="0005652B">
      <w:pPr>
        <w:spacing w:after="0" w:line="240" w:lineRule="auto"/>
        <w:rPr>
          <w:lang w:val="en-GB"/>
        </w:rPr>
      </w:pPr>
      <w:r w:rsidRPr="00CD0BE3">
        <w:rPr>
          <w:lang w:val="en-US"/>
        </w:rPr>
        <w:br w:type="page"/>
      </w:r>
    </w:p>
    <w:p w14:paraId="1328CF0C" w14:textId="77777777" w:rsidR="00DF5486" w:rsidRDefault="00DF5486">
      <w:pPr>
        <w:rPr>
          <w:lang w:val="en-GB"/>
        </w:rPr>
      </w:pPr>
    </w:p>
    <w:p w14:paraId="1F9BCB44" w14:textId="77777777" w:rsidR="00DF5486" w:rsidRDefault="0005652B">
      <w:pPr>
        <w:pStyle w:val="Ttulo2"/>
        <w:rPr>
          <w:lang w:val="en-GB"/>
        </w:rPr>
      </w:pPr>
      <w:r>
        <w:rPr>
          <w:lang w:val="en-GB"/>
        </w:rPr>
        <w:t>Description of the formal risk management process for the rights and freedoms of data subjects (Fifth.</w:t>
      </w:r>
      <w:proofErr w:type="gramStart"/>
      <w:r>
        <w:rPr>
          <w:lang w:val="en-GB"/>
        </w:rPr>
        <w:t>5.i</w:t>
      </w:r>
      <w:proofErr w:type="gramEnd"/>
      <w:r>
        <w:rPr>
          <w:lang w:val="en-GB"/>
        </w:rPr>
        <w:t xml:space="preserve"> and Fifth.5.last paragraph of Instruction 1/2021).</w:t>
      </w:r>
    </w:p>
    <w:tbl>
      <w:tblPr>
        <w:tblStyle w:val="Tablaconcuadrcula"/>
        <w:tblW w:w="10206" w:type="dxa"/>
        <w:tblInd w:w="-572" w:type="dxa"/>
        <w:tblLayout w:type="fixed"/>
        <w:tblLook w:val="04A0" w:firstRow="1" w:lastRow="0" w:firstColumn="1" w:lastColumn="0" w:noHBand="0" w:noVBand="1"/>
      </w:tblPr>
      <w:tblGrid>
        <w:gridCol w:w="3686"/>
        <w:gridCol w:w="1672"/>
        <w:gridCol w:w="4848"/>
      </w:tblGrid>
      <w:tr w:rsidR="00DF5486" w:rsidRPr="00C1334D" w14:paraId="0D82E0A0" w14:textId="77777777">
        <w:tc>
          <w:tcPr>
            <w:tcW w:w="3686" w:type="dxa"/>
            <w:shd w:val="clear" w:color="auto" w:fill="FFDE93"/>
          </w:tcPr>
          <w:p w14:paraId="36D1A341" w14:textId="77777777" w:rsidR="00DF5486" w:rsidRDefault="0005652B">
            <w:pPr>
              <w:pStyle w:val="Normal2"/>
              <w:ind w:firstLine="0"/>
              <w:jc w:val="center"/>
              <w:rPr>
                <w:b/>
                <w:bCs/>
                <w:sz w:val="20"/>
                <w:szCs w:val="20"/>
                <w:lang w:val="en-GB"/>
              </w:rPr>
            </w:pPr>
            <w:r>
              <w:rPr>
                <w:b/>
                <w:bCs/>
                <w:sz w:val="20"/>
                <w:szCs w:val="20"/>
                <w:lang w:val="en-GB"/>
              </w:rPr>
              <w:t>ELEMENTS OF VERIFICATION</w:t>
            </w:r>
          </w:p>
        </w:tc>
        <w:tc>
          <w:tcPr>
            <w:tcW w:w="1672" w:type="dxa"/>
            <w:shd w:val="clear" w:color="auto" w:fill="FFDE93"/>
          </w:tcPr>
          <w:p w14:paraId="2370CD41" w14:textId="77777777" w:rsidR="00DF5486" w:rsidRDefault="0005652B">
            <w:pPr>
              <w:pStyle w:val="Normal2"/>
              <w:ind w:firstLine="0"/>
              <w:jc w:val="center"/>
              <w:rPr>
                <w:b/>
                <w:bCs/>
                <w:sz w:val="18"/>
                <w:szCs w:val="18"/>
                <w:lang w:val="en-GB"/>
              </w:rPr>
            </w:pPr>
            <w:r>
              <w:rPr>
                <w:b/>
                <w:bCs/>
                <w:sz w:val="18"/>
                <w:szCs w:val="18"/>
                <w:lang w:val="en-GB"/>
              </w:rPr>
              <w:t>CHECK</w:t>
            </w:r>
          </w:p>
        </w:tc>
        <w:tc>
          <w:tcPr>
            <w:tcW w:w="4848" w:type="dxa"/>
            <w:shd w:val="clear" w:color="auto" w:fill="FFDE93"/>
          </w:tcPr>
          <w:p w14:paraId="397F0BE2" w14:textId="77777777" w:rsidR="00DF5486" w:rsidRDefault="0005652B">
            <w:pPr>
              <w:pStyle w:val="Normal2"/>
              <w:ind w:firstLine="0"/>
              <w:jc w:val="center"/>
              <w:rPr>
                <w:b/>
                <w:bCs/>
                <w:sz w:val="20"/>
                <w:szCs w:val="20"/>
                <w:lang w:val="en-GB"/>
              </w:rPr>
            </w:pPr>
            <w:r>
              <w:rPr>
                <w:b/>
                <w:bCs/>
                <w:sz w:val="20"/>
                <w:szCs w:val="20"/>
                <w:lang w:val="en-GB"/>
              </w:rPr>
              <w:t>COMMENTS</w:t>
            </w:r>
          </w:p>
          <w:p w14:paraId="59F7ABB3" w14:textId="77777777" w:rsidR="00DF5486" w:rsidRDefault="0005652B">
            <w:pPr>
              <w:pStyle w:val="Normal2"/>
              <w:ind w:firstLine="0"/>
              <w:jc w:val="center"/>
              <w:rPr>
                <w:sz w:val="20"/>
                <w:szCs w:val="20"/>
                <w:lang w:val="en-GB"/>
              </w:rPr>
            </w:pPr>
            <w:r>
              <w:rPr>
                <w:sz w:val="20"/>
                <w:szCs w:val="20"/>
                <w:lang w:val="en-GB"/>
              </w:rPr>
              <w:t>(</w:t>
            </w:r>
            <w:proofErr w:type="gramStart"/>
            <w:r>
              <w:rPr>
                <w:sz w:val="20"/>
                <w:szCs w:val="20"/>
                <w:lang w:val="en-GB"/>
              </w:rPr>
              <w:t>replace</w:t>
            </w:r>
            <w:proofErr w:type="gramEnd"/>
            <w:r>
              <w:rPr>
                <w:sz w:val="20"/>
                <w:szCs w:val="20"/>
                <w:lang w:val="en-GB"/>
              </w:rPr>
              <w:t xml:space="preserve"> these comments with the appropriate ones in each case)</w:t>
            </w:r>
          </w:p>
        </w:tc>
      </w:tr>
      <w:tr w:rsidR="00DF5486" w:rsidRPr="00C1334D" w14:paraId="0F40F266" w14:textId="77777777">
        <w:tc>
          <w:tcPr>
            <w:tcW w:w="3686" w:type="dxa"/>
          </w:tcPr>
          <w:p w14:paraId="70F0117F" w14:textId="77777777" w:rsidR="00DF5486" w:rsidRDefault="0005652B">
            <w:pPr>
              <w:pStyle w:val="Normal2"/>
              <w:ind w:firstLine="0"/>
              <w:rPr>
                <w:sz w:val="20"/>
                <w:szCs w:val="20"/>
                <w:lang w:val="en-GB"/>
              </w:rPr>
            </w:pPr>
            <w:r>
              <w:rPr>
                <w:sz w:val="20"/>
                <w:szCs w:val="20"/>
                <w:lang w:val="en-GB"/>
              </w:rPr>
              <w:t xml:space="preserve">9.1 The development of the DPIA documentation takes into account what is indicated by the AEPD in its guides and recommendations, in particular in what is indicated in the </w:t>
            </w:r>
            <w:hyperlink r:id="rId17">
              <w:r>
                <w:rPr>
                  <w:rStyle w:val="EnlacedeInternet"/>
                  <w:sz w:val="20"/>
                  <w:szCs w:val="20"/>
                  <w:lang w:val="en-GB"/>
                </w:rPr>
                <w:t>Guide</w:t>
              </w:r>
            </w:hyperlink>
            <w:r>
              <w:rPr>
                <w:sz w:val="20"/>
                <w:szCs w:val="20"/>
                <w:lang w:val="en-GB"/>
              </w:rPr>
              <w:t xml:space="preserve"> (FIFTH.5 last of Instruction 1/2021).</w:t>
            </w:r>
          </w:p>
        </w:tc>
        <w:tc>
          <w:tcPr>
            <w:tcW w:w="1672" w:type="dxa"/>
            <w:vAlign w:val="center"/>
          </w:tcPr>
          <w:p w14:paraId="44DC17E4" w14:textId="77777777" w:rsidR="00DF5486" w:rsidRDefault="0005652B">
            <w:pPr>
              <w:pStyle w:val="Normal2"/>
              <w:ind w:firstLine="0"/>
              <w:jc w:val="center"/>
              <w:rPr>
                <w:sz w:val="16"/>
                <w:szCs w:val="18"/>
                <w:lang w:val="en-GB"/>
              </w:rPr>
            </w:pPr>
            <w:r>
              <w:rPr>
                <w:sz w:val="16"/>
                <w:szCs w:val="18"/>
                <w:lang w:val="en-GB"/>
              </w:rPr>
              <w:t>NO</w:t>
            </w:r>
          </w:p>
          <w:p w14:paraId="4A8D6F40" w14:textId="77777777" w:rsidR="00DF5486" w:rsidRDefault="0005652B">
            <w:pPr>
              <w:pStyle w:val="Normal2"/>
              <w:ind w:firstLine="0"/>
              <w:jc w:val="center"/>
              <w:rPr>
                <w:sz w:val="18"/>
                <w:szCs w:val="18"/>
                <w:lang w:val="en-GB"/>
              </w:rPr>
            </w:pPr>
            <w:r>
              <w:rPr>
                <w:sz w:val="16"/>
                <w:szCs w:val="18"/>
                <w:lang w:val="en-GB"/>
              </w:rPr>
              <w:t>YES, AND IT IS DEMONSTRATED</w:t>
            </w:r>
          </w:p>
        </w:tc>
        <w:tc>
          <w:tcPr>
            <w:tcW w:w="4848" w:type="dxa"/>
          </w:tcPr>
          <w:p w14:paraId="2EF1D9E5" w14:textId="77777777" w:rsidR="00DF5486" w:rsidRDefault="0005652B">
            <w:pPr>
              <w:pStyle w:val="Normal2"/>
              <w:ind w:firstLine="0"/>
              <w:rPr>
                <w:sz w:val="20"/>
                <w:szCs w:val="20"/>
                <w:lang w:val="en-GB"/>
              </w:rPr>
            </w:pPr>
            <w:r>
              <w:rPr>
                <w:sz w:val="20"/>
                <w:szCs w:val="20"/>
                <w:lang w:val="en-GB"/>
              </w:rPr>
              <w:t xml:space="preserve">The development of the DPIA documentation must take into account what is indicated by the AEPD in its guides and recommendations, in particular, what is indicated in the </w:t>
            </w:r>
            <w:r w:rsidR="0017413E">
              <w:fldChar w:fldCharType="begin"/>
            </w:r>
            <w:r w:rsidR="0017413E" w:rsidRPr="00C1334D">
              <w:rPr>
                <w:lang w:val="en-US"/>
              </w:rPr>
              <w:instrText xml:space="preserve"> HYPERLINK "https://www.aepd.es/es/documento/risk-management-and-impact-assessment-in-processing-personal-data.pdf" \h </w:instrText>
            </w:r>
            <w:r w:rsidR="0017413E">
              <w:fldChar w:fldCharType="separate"/>
            </w:r>
            <w:r>
              <w:rPr>
                <w:rStyle w:val="EnlacedeInternet"/>
                <w:sz w:val="20"/>
                <w:szCs w:val="20"/>
                <w:lang w:val="en-GB"/>
              </w:rPr>
              <w:t>Guide</w:t>
            </w:r>
            <w:r w:rsidR="0017413E">
              <w:rPr>
                <w:rStyle w:val="EnlacedeInternet"/>
                <w:sz w:val="20"/>
                <w:szCs w:val="20"/>
                <w:lang w:val="en-GB"/>
              </w:rPr>
              <w:fldChar w:fldCharType="end"/>
            </w:r>
            <w:r>
              <w:rPr>
                <w:sz w:val="20"/>
                <w:szCs w:val="20"/>
                <w:lang w:val="en-GB"/>
              </w:rPr>
              <w:t>.</w:t>
            </w:r>
          </w:p>
        </w:tc>
      </w:tr>
      <w:tr w:rsidR="00DF5486" w:rsidRPr="00C1334D" w14:paraId="4D4B4B83" w14:textId="77777777">
        <w:tc>
          <w:tcPr>
            <w:tcW w:w="3686" w:type="dxa"/>
          </w:tcPr>
          <w:p w14:paraId="499FDC1D" w14:textId="77777777" w:rsidR="00DF5486" w:rsidRDefault="0005652B">
            <w:pPr>
              <w:pStyle w:val="Normal2"/>
              <w:ind w:firstLine="0"/>
              <w:rPr>
                <w:sz w:val="20"/>
                <w:szCs w:val="20"/>
                <w:lang w:val="en-GB"/>
              </w:rPr>
            </w:pPr>
            <w:r>
              <w:rPr>
                <w:sz w:val="20"/>
                <w:szCs w:val="20"/>
                <w:lang w:val="en-GB"/>
              </w:rPr>
              <w:t>9.2 A reputable methodology has been followed for the risk management process for the rights and freedoms of data subjects.</w:t>
            </w:r>
          </w:p>
        </w:tc>
        <w:tc>
          <w:tcPr>
            <w:tcW w:w="1672" w:type="dxa"/>
            <w:vAlign w:val="center"/>
          </w:tcPr>
          <w:p w14:paraId="14CC330F" w14:textId="77777777" w:rsidR="00DF5486" w:rsidRDefault="0005652B">
            <w:pPr>
              <w:pStyle w:val="Normal2"/>
              <w:ind w:firstLine="0"/>
              <w:jc w:val="center"/>
              <w:rPr>
                <w:sz w:val="16"/>
                <w:szCs w:val="18"/>
                <w:lang w:val="en-GB"/>
              </w:rPr>
            </w:pPr>
            <w:r>
              <w:rPr>
                <w:sz w:val="16"/>
                <w:szCs w:val="18"/>
                <w:lang w:val="en-GB"/>
              </w:rPr>
              <w:t>NO</w:t>
            </w:r>
          </w:p>
          <w:p w14:paraId="78CF76DA" w14:textId="77777777" w:rsidR="00DF5486" w:rsidRDefault="0005652B">
            <w:pPr>
              <w:pStyle w:val="Normal2"/>
              <w:ind w:firstLine="0"/>
              <w:jc w:val="center"/>
              <w:rPr>
                <w:sz w:val="18"/>
                <w:szCs w:val="18"/>
                <w:lang w:val="en-GB"/>
              </w:rPr>
            </w:pPr>
            <w:r>
              <w:rPr>
                <w:sz w:val="16"/>
                <w:szCs w:val="18"/>
                <w:lang w:val="en-GB"/>
              </w:rPr>
              <w:t>YES, AND IT IS DEMONSTRATED</w:t>
            </w:r>
          </w:p>
        </w:tc>
        <w:tc>
          <w:tcPr>
            <w:tcW w:w="4848" w:type="dxa"/>
          </w:tcPr>
          <w:p w14:paraId="4A0F7012" w14:textId="77777777" w:rsidR="00DF5486" w:rsidRDefault="0005652B">
            <w:pPr>
              <w:pStyle w:val="Normal2"/>
              <w:ind w:firstLine="0"/>
              <w:rPr>
                <w:sz w:val="20"/>
                <w:szCs w:val="20"/>
                <w:lang w:val="en-GB"/>
              </w:rPr>
            </w:pPr>
            <w:r>
              <w:rPr>
                <w:sz w:val="20"/>
                <w:szCs w:val="20"/>
                <w:lang w:val="en-GB"/>
              </w:rPr>
              <w:t>If the implementation of the DPIA, in addition to the resources of the AEPD, includes additional methodologies for risk management, the scope of these methodologies in the implementation of the DPIA must be indicated in its documentation, as well as the justification for the need to use such methodologies.</w:t>
            </w:r>
          </w:p>
        </w:tc>
      </w:tr>
      <w:tr w:rsidR="00DF5486" w:rsidRPr="00C1334D" w14:paraId="77F8E1E7" w14:textId="77777777">
        <w:tc>
          <w:tcPr>
            <w:tcW w:w="3686" w:type="dxa"/>
          </w:tcPr>
          <w:p w14:paraId="5C9CCCC9" w14:textId="77777777" w:rsidR="00DF5486" w:rsidRDefault="0005652B">
            <w:pPr>
              <w:pStyle w:val="Normal2"/>
              <w:ind w:firstLine="0"/>
              <w:rPr>
                <w:sz w:val="20"/>
                <w:szCs w:val="20"/>
                <w:lang w:val="en-GB"/>
              </w:rPr>
            </w:pPr>
            <w:r>
              <w:rPr>
                <w:sz w:val="20"/>
                <w:szCs w:val="20"/>
                <w:lang w:val="en-GB"/>
              </w:rPr>
              <w:t>9.3 There is an identification of the risk factors for the rights and freedoms of data subjects (art. 35.7.c GDPR).</w:t>
            </w:r>
          </w:p>
        </w:tc>
        <w:tc>
          <w:tcPr>
            <w:tcW w:w="1672" w:type="dxa"/>
            <w:vAlign w:val="center"/>
          </w:tcPr>
          <w:p w14:paraId="06691FF4" w14:textId="77777777" w:rsidR="00DF5486" w:rsidRDefault="0005652B">
            <w:pPr>
              <w:pStyle w:val="Normal2"/>
              <w:ind w:firstLine="0"/>
              <w:jc w:val="center"/>
              <w:rPr>
                <w:sz w:val="16"/>
                <w:szCs w:val="18"/>
                <w:lang w:val="en-GB"/>
              </w:rPr>
            </w:pPr>
            <w:r>
              <w:rPr>
                <w:sz w:val="16"/>
                <w:szCs w:val="18"/>
                <w:lang w:val="en-GB"/>
              </w:rPr>
              <w:t>NO</w:t>
            </w:r>
          </w:p>
          <w:p w14:paraId="09FB7A75" w14:textId="77777777" w:rsidR="00DF5486" w:rsidRDefault="0005652B">
            <w:pPr>
              <w:pStyle w:val="Normal2"/>
              <w:ind w:firstLine="0"/>
              <w:jc w:val="center"/>
              <w:rPr>
                <w:sz w:val="18"/>
                <w:szCs w:val="18"/>
                <w:lang w:val="en-GB"/>
              </w:rPr>
            </w:pPr>
            <w:r>
              <w:rPr>
                <w:sz w:val="16"/>
                <w:szCs w:val="18"/>
                <w:lang w:val="en-GB"/>
              </w:rPr>
              <w:t>YES, AND IT IS DEMONSTRATED</w:t>
            </w:r>
          </w:p>
        </w:tc>
        <w:tc>
          <w:tcPr>
            <w:tcW w:w="4848" w:type="dxa"/>
          </w:tcPr>
          <w:p w14:paraId="0F95916E" w14:textId="77777777" w:rsidR="00DF5486" w:rsidRDefault="0005652B">
            <w:pPr>
              <w:pStyle w:val="Normal2"/>
              <w:ind w:firstLine="0"/>
              <w:rPr>
                <w:sz w:val="20"/>
                <w:szCs w:val="20"/>
                <w:lang w:val="en-GB"/>
              </w:rPr>
            </w:pPr>
            <w:r>
              <w:rPr>
                <w:sz w:val="20"/>
                <w:szCs w:val="20"/>
                <w:lang w:val="en-GB"/>
              </w:rPr>
              <w:t>In the DPIA documentation, the identification of inherent and residual risks to the rights and freedoms of data subjects that the processing may entail is carried out.</w:t>
            </w:r>
          </w:p>
        </w:tc>
      </w:tr>
      <w:tr w:rsidR="00DF5486" w:rsidRPr="00C1334D" w14:paraId="1D37AD24" w14:textId="77777777">
        <w:tc>
          <w:tcPr>
            <w:tcW w:w="3686" w:type="dxa"/>
          </w:tcPr>
          <w:p w14:paraId="21FF5CEC" w14:textId="77777777" w:rsidR="00DF5486" w:rsidRDefault="0005652B">
            <w:pPr>
              <w:pStyle w:val="Normal2"/>
              <w:ind w:firstLine="0"/>
              <w:rPr>
                <w:sz w:val="20"/>
                <w:szCs w:val="20"/>
                <w:lang w:val="en-GB"/>
              </w:rPr>
            </w:pPr>
            <w:r>
              <w:rPr>
                <w:sz w:val="20"/>
                <w:szCs w:val="20"/>
                <w:lang w:val="en-GB"/>
              </w:rPr>
              <w:t xml:space="preserve">9.4 An analysis of the possible indirect, </w:t>
            </w:r>
            <w:proofErr w:type="gramStart"/>
            <w:r>
              <w:rPr>
                <w:sz w:val="20"/>
                <w:szCs w:val="20"/>
                <w:lang w:val="en-GB"/>
              </w:rPr>
              <w:t>collateral</w:t>
            </w:r>
            <w:proofErr w:type="gramEnd"/>
            <w:r>
              <w:rPr>
                <w:sz w:val="20"/>
                <w:szCs w:val="20"/>
                <w:lang w:val="en-GB"/>
              </w:rPr>
              <w:t xml:space="preserve"> or unintended effects of the processing on the rights and freedoms of data subjects has been carried out.</w:t>
            </w:r>
          </w:p>
        </w:tc>
        <w:tc>
          <w:tcPr>
            <w:tcW w:w="1672" w:type="dxa"/>
            <w:vAlign w:val="center"/>
          </w:tcPr>
          <w:p w14:paraId="5C9C82E7" w14:textId="77777777" w:rsidR="00DF5486" w:rsidRDefault="0005652B">
            <w:pPr>
              <w:pStyle w:val="Normal2"/>
              <w:ind w:firstLine="0"/>
              <w:jc w:val="center"/>
              <w:rPr>
                <w:sz w:val="16"/>
                <w:szCs w:val="18"/>
                <w:lang w:val="en-GB"/>
              </w:rPr>
            </w:pPr>
            <w:r>
              <w:rPr>
                <w:sz w:val="16"/>
                <w:szCs w:val="18"/>
                <w:lang w:val="en-GB"/>
              </w:rPr>
              <w:t>NO</w:t>
            </w:r>
          </w:p>
          <w:p w14:paraId="7B56C875" w14:textId="77777777" w:rsidR="00DF5486" w:rsidRDefault="0005652B">
            <w:pPr>
              <w:pStyle w:val="Normal2"/>
              <w:ind w:firstLine="0"/>
              <w:jc w:val="center"/>
              <w:rPr>
                <w:sz w:val="18"/>
                <w:szCs w:val="18"/>
                <w:lang w:val="en-GB"/>
              </w:rPr>
            </w:pPr>
            <w:r>
              <w:rPr>
                <w:sz w:val="16"/>
                <w:szCs w:val="18"/>
                <w:lang w:val="en-GB"/>
              </w:rPr>
              <w:t>YES, AND IT IS DEMONSTRATED</w:t>
            </w:r>
          </w:p>
        </w:tc>
        <w:tc>
          <w:tcPr>
            <w:tcW w:w="4848" w:type="dxa"/>
          </w:tcPr>
          <w:p w14:paraId="4B5529F6" w14:textId="77777777" w:rsidR="00DF5486" w:rsidRDefault="0005652B">
            <w:pPr>
              <w:pStyle w:val="Normal2"/>
              <w:ind w:firstLine="0"/>
              <w:rPr>
                <w:sz w:val="20"/>
                <w:szCs w:val="20"/>
                <w:lang w:val="en-GB"/>
              </w:rPr>
            </w:pPr>
            <w:r>
              <w:rPr>
                <w:sz w:val="20"/>
                <w:szCs w:val="20"/>
                <w:lang w:val="en-GB"/>
              </w:rPr>
              <w:t>Once compliance with data protection rules has been ensured, in addition to the risk factors inherent to the processing, the possible effects of the processing on the rights and freedoms of individuals should be analysed.</w:t>
            </w:r>
          </w:p>
        </w:tc>
      </w:tr>
      <w:tr w:rsidR="00DF5486" w:rsidRPr="00C1334D" w14:paraId="3A21F8F8" w14:textId="77777777">
        <w:tc>
          <w:tcPr>
            <w:tcW w:w="3686" w:type="dxa"/>
          </w:tcPr>
          <w:p w14:paraId="7BFA11B2" w14:textId="77777777" w:rsidR="00DF5486" w:rsidRDefault="0005652B">
            <w:pPr>
              <w:pStyle w:val="Normal2"/>
              <w:ind w:firstLine="0"/>
              <w:rPr>
                <w:sz w:val="20"/>
                <w:szCs w:val="20"/>
                <w:lang w:val="en-GB"/>
              </w:rPr>
            </w:pPr>
            <w:r>
              <w:rPr>
                <w:sz w:val="20"/>
                <w:szCs w:val="20"/>
                <w:lang w:val="en-GB"/>
              </w:rPr>
              <w:t>9.5 In the identification of risk factors, their impact has been analysed in relation to possible or potential personal data breach scenarios.</w:t>
            </w:r>
          </w:p>
        </w:tc>
        <w:tc>
          <w:tcPr>
            <w:tcW w:w="1672" w:type="dxa"/>
            <w:vAlign w:val="center"/>
          </w:tcPr>
          <w:p w14:paraId="4385CEC7" w14:textId="77777777" w:rsidR="00DF5486" w:rsidRDefault="0005652B">
            <w:pPr>
              <w:pStyle w:val="Normal2"/>
              <w:ind w:firstLine="0"/>
              <w:jc w:val="center"/>
              <w:rPr>
                <w:sz w:val="16"/>
                <w:szCs w:val="18"/>
                <w:lang w:val="en-GB"/>
              </w:rPr>
            </w:pPr>
            <w:r>
              <w:rPr>
                <w:sz w:val="16"/>
                <w:szCs w:val="18"/>
                <w:lang w:val="en-GB"/>
              </w:rPr>
              <w:t>NO</w:t>
            </w:r>
          </w:p>
          <w:p w14:paraId="7F5A7E88" w14:textId="77777777" w:rsidR="00DF5486" w:rsidRDefault="0005652B">
            <w:pPr>
              <w:pStyle w:val="Normal2"/>
              <w:ind w:firstLine="0"/>
              <w:jc w:val="center"/>
              <w:rPr>
                <w:sz w:val="18"/>
                <w:szCs w:val="18"/>
                <w:lang w:val="en-GB"/>
              </w:rPr>
            </w:pPr>
            <w:r>
              <w:rPr>
                <w:sz w:val="16"/>
                <w:szCs w:val="18"/>
                <w:lang w:val="en-GB"/>
              </w:rPr>
              <w:t>YES, AND IT IS DEMONSTRATED</w:t>
            </w:r>
          </w:p>
        </w:tc>
        <w:tc>
          <w:tcPr>
            <w:tcW w:w="4848" w:type="dxa"/>
          </w:tcPr>
          <w:p w14:paraId="4DB52A3B" w14:textId="77777777" w:rsidR="00DF5486" w:rsidRDefault="0005652B">
            <w:pPr>
              <w:pStyle w:val="Normal2"/>
              <w:ind w:firstLine="0"/>
              <w:rPr>
                <w:sz w:val="20"/>
                <w:szCs w:val="20"/>
                <w:lang w:val="en-GB"/>
              </w:rPr>
            </w:pPr>
            <w:r>
              <w:rPr>
                <w:sz w:val="20"/>
                <w:szCs w:val="20"/>
                <w:lang w:val="en-GB"/>
              </w:rPr>
              <w:t xml:space="preserve">In addition to the risk factors of data processing, account shall also be taken of the negative consequences for the rights and freedoms of natural persons of the loss of confidentiality, </w:t>
            </w:r>
            <w:proofErr w:type="gramStart"/>
            <w:r>
              <w:rPr>
                <w:sz w:val="20"/>
                <w:szCs w:val="20"/>
                <w:lang w:val="en-GB"/>
              </w:rPr>
              <w:t>integrity</w:t>
            </w:r>
            <w:proofErr w:type="gramEnd"/>
            <w:r>
              <w:rPr>
                <w:sz w:val="20"/>
                <w:szCs w:val="20"/>
                <w:lang w:val="en-GB"/>
              </w:rPr>
              <w:t xml:space="preserve"> and availability of personal data.</w:t>
            </w:r>
          </w:p>
        </w:tc>
      </w:tr>
      <w:tr w:rsidR="00DF5486" w:rsidRPr="00C1334D" w14:paraId="3B6171B3" w14:textId="77777777">
        <w:tc>
          <w:tcPr>
            <w:tcW w:w="3686" w:type="dxa"/>
          </w:tcPr>
          <w:p w14:paraId="44590C46" w14:textId="77777777" w:rsidR="00DF5486" w:rsidRDefault="0005652B">
            <w:pPr>
              <w:pStyle w:val="Normal2"/>
              <w:ind w:firstLine="0"/>
              <w:rPr>
                <w:sz w:val="20"/>
                <w:szCs w:val="20"/>
                <w:lang w:val="en-GB"/>
              </w:rPr>
            </w:pPr>
            <w:r>
              <w:rPr>
                <w:sz w:val="20"/>
                <w:szCs w:val="20"/>
                <w:lang w:val="en-GB"/>
              </w:rPr>
              <w:t>9.6 For each risk identified, the impact on the rights and freedoms of data subjects and the likelihood of its occurrence are assessed.</w:t>
            </w:r>
          </w:p>
        </w:tc>
        <w:tc>
          <w:tcPr>
            <w:tcW w:w="1672" w:type="dxa"/>
            <w:vAlign w:val="center"/>
          </w:tcPr>
          <w:p w14:paraId="2738AC87" w14:textId="77777777" w:rsidR="00DF5486" w:rsidRDefault="0005652B">
            <w:pPr>
              <w:pStyle w:val="Normal2"/>
              <w:ind w:firstLine="0"/>
              <w:jc w:val="center"/>
              <w:rPr>
                <w:sz w:val="16"/>
                <w:szCs w:val="18"/>
                <w:lang w:val="en-GB"/>
              </w:rPr>
            </w:pPr>
            <w:r>
              <w:rPr>
                <w:sz w:val="16"/>
                <w:szCs w:val="18"/>
                <w:lang w:val="en-GB"/>
              </w:rPr>
              <w:t>NO</w:t>
            </w:r>
          </w:p>
          <w:p w14:paraId="443F7B61" w14:textId="77777777" w:rsidR="00DF5486" w:rsidRDefault="0005652B">
            <w:pPr>
              <w:pStyle w:val="Normal2"/>
              <w:ind w:firstLine="0"/>
              <w:jc w:val="center"/>
              <w:rPr>
                <w:sz w:val="18"/>
                <w:szCs w:val="18"/>
                <w:lang w:val="en-GB"/>
              </w:rPr>
            </w:pPr>
            <w:r>
              <w:rPr>
                <w:sz w:val="16"/>
                <w:szCs w:val="18"/>
                <w:lang w:val="en-GB"/>
              </w:rPr>
              <w:t>YES, AND IT IS DEMONSTRATED</w:t>
            </w:r>
          </w:p>
        </w:tc>
        <w:tc>
          <w:tcPr>
            <w:tcW w:w="4848" w:type="dxa"/>
          </w:tcPr>
          <w:p w14:paraId="526D04E4" w14:textId="77777777" w:rsidR="00DF5486" w:rsidRDefault="0005652B">
            <w:pPr>
              <w:pStyle w:val="Normal2"/>
              <w:ind w:firstLine="0"/>
              <w:rPr>
                <w:sz w:val="20"/>
                <w:szCs w:val="20"/>
                <w:lang w:val="en-GB"/>
              </w:rPr>
            </w:pPr>
            <w:r>
              <w:rPr>
                <w:sz w:val="20"/>
                <w:szCs w:val="20"/>
                <w:lang w:val="en-GB"/>
              </w:rPr>
              <w:t xml:space="preserve">The risk assessment shall be carried out </w:t>
            </w:r>
            <w:proofErr w:type="gramStart"/>
            <w:r>
              <w:rPr>
                <w:sz w:val="20"/>
                <w:szCs w:val="20"/>
                <w:lang w:val="en-GB"/>
              </w:rPr>
              <w:t>on the basis of</w:t>
            </w:r>
            <w:proofErr w:type="gramEnd"/>
            <w:r>
              <w:rPr>
                <w:sz w:val="20"/>
                <w:szCs w:val="20"/>
                <w:lang w:val="en-GB"/>
              </w:rPr>
              <w:t xml:space="preserve"> quantifiable parameters in terms of impact and likelihood, and the effect of the measures on the risk shall be justified in terms of impact on stakeholders and likelihood of occurrence.</w:t>
            </w:r>
          </w:p>
        </w:tc>
      </w:tr>
      <w:tr w:rsidR="00DF5486" w:rsidRPr="00C1334D" w14:paraId="0D49F12B" w14:textId="77777777">
        <w:tc>
          <w:tcPr>
            <w:tcW w:w="3686" w:type="dxa"/>
          </w:tcPr>
          <w:p w14:paraId="2453B5D2" w14:textId="77777777" w:rsidR="00DF5486" w:rsidRDefault="0005652B">
            <w:pPr>
              <w:pStyle w:val="Normal2"/>
              <w:ind w:firstLine="0"/>
              <w:rPr>
                <w:sz w:val="20"/>
                <w:szCs w:val="20"/>
                <w:lang w:val="en-GB"/>
              </w:rPr>
            </w:pPr>
            <w:r>
              <w:rPr>
                <w:sz w:val="20"/>
                <w:szCs w:val="20"/>
                <w:lang w:val="en-GB"/>
              </w:rPr>
              <w:t>9.7 The measures established on the concept and design of processing to minimise risks to rights and freedoms are identified (art. 25.1 GDPR).</w:t>
            </w:r>
          </w:p>
        </w:tc>
        <w:tc>
          <w:tcPr>
            <w:tcW w:w="1672" w:type="dxa"/>
            <w:vAlign w:val="center"/>
          </w:tcPr>
          <w:p w14:paraId="3A73124E" w14:textId="77777777" w:rsidR="00DF5486" w:rsidRDefault="0005652B">
            <w:pPr>
              <w:pStyle w:val="Normal2"/>
              <w:ind w:firstLine="0"/>
              <w:jc w:val="center"/>
              <w:rPr>
                <w:sz w:val="16"/>
                <w:szCs w:val="18"/>
                <w:lang w:val="en-GB"/>
              </w:rPr>
            </w:pPr>
            <w:r>
              <w:rPr>
                <w:sz w:val="16"/>
                <w:szCs w:val="18"/>
                <w:lang w:val="en-GB"/>
              </w:rPr>
              <w:t>NO</w:t>
            </w:r>
          </w:p>
          <w:p w14:paraId="6B920C15" w14:textId="77777777" w:rsidR="00DF5486" w:rsidRDefault="0005652B">
            <w:pPr>
              <w:pStyle w:val="Normal2"/>
              <w:ind w:firstLine="0"/>
              <w:jc w:val="center"/>
              <w:rPr>
                <w:sz w:val="18"/>
                <w:szCs w:val="18"/>
                <w:lang w:val="en-GB"/>
              </w:rPr>
            </w:pPr>
            <w:r>
              <w:rPr>
                <w:sz w:val="16"/>
                <w:szCs w:val="18"/>
                <w:lang w:val="en-GB"/>
              </w:rPr>
              <w:t>YES, AND IT IS DEMONSTRATED</w:t>
            </w:r>
          </w:p>
        </w:tc>
        <w:tc>
          <w:tcPr>
            <w:tcW w:w="4848" w:type="dxa"/>
          </w:tcPr>
          <w:p w14:paraId="5CE661FC" w14:textId="77777777" w:rsidR="00DF5486" w:rsidRDefault="0005652B">
            <w:pPr>
              <w:pStyle w:val="Normal2"/>
              <w:ind w:firstLine="0"/>
              <w:rPr>
                <w:rFonts w:ascii="Source Sans Pro" w:hAnsi="Source Sans Pro"/>
                <w:b/>
                <w:bCs/>
                <w:sz w:val="23"/>
                <w:szCs w:val="23"/>
                <w:lang w:val="en-GB"/>
              </w:rPr>
            </w:pPr>
            <w:r>
              <w:rPr>
                <w:sz w:val="20"/>
                <w:szCs w:val="20"/>
                <w:lang w:val="en-GB"/>
              </w:rPr>
              <w:t xml:space="preserve">It is recommended to consult section VIII.A of the </w:t>
            </w:r>
            <w:r w:rsidR="0017413E">
              <w:fldChar w:fldCharType="begin"/>
            </w:r>
            <w:r w:rsidR="0017413E" w:rsidRPr="00C1334D">
              <w:rPr>
                <w:lang w:val="en-US"/>
              </w:rPr>
              <w:instrText xml:space="preserve"> HYPERLINK "https://www.aepd.es/es/documento/risk-management-and-impact-assessment-in-processing-personal-data.pdf" \h </w:instrText>
            </w:r>
            <w:r w:rsidR="0017413E">
              <w:fldChar w:fldCharType="separate"/>
            </w:r>
            <w:r>
              <w:rPr>
                <w:rStyle w:val="EnlacedeInternet"/>
                <w:sz w:val="20"/>
                <w:szCs w:val="20"/>
                <w:lang w:val="en-GB"/>
              </w:rPr>
              <w:t>Guide</w:t>
            </w:r>
            <w:r w:rsidR="0017413E">
              <w:rPr>
                <w:rStyle w:val="EnlacedeInternet"/>
                <w:sz w:val="20"/>
                <w:szCs w:val="20"/>
                <w:lang w:val="en-GB"/>
              </w:rPr>
              <w:fldChar w:fldCharType="end"/>
            </w:r>
            <w:r>
              <w:rPr>
                <w:sz w:val="20"/>
                <w:szCs w:val="20"/>
                <w:lang w:val="en-GB"/>
              </w:rPr>
              <w:t>.</w:t>
            </w:r>
          </w:p>
        </w:tc>
      </w:tr>
      <w:tr w:rsidR="00DF5486" w:rsidRPr="00C1334D" w14:paraId="6A80FD39" w14:textId="77777777">
        <w:tc>
          <w:tcPr>
            <w:tcW w:w="3686" w:type="dxa"/>
          </w:tcPr>
          <w:p w14:paraId="68B5B252" w14:textId="77777777" w:rsidR="00DF5486" w:rsidRDefault="0005652B">
            <w:pPr>
              <w:pStyle w:val="Normal2"/>
              <w:ind w:firstLine="0"/>
              <w:rPr>
                <w:sz w:val="20"/>
                <w:szCs w:val="20"/>
                <w:lang w:val="en-GB"/>
              </w:rPr>
            </w:pPr>
            <w:r>
              <w:rPr>
                <w:sz w:val="20"/>
                <w:szCs w:val="20"/>
                <w:lang w:val="en-GB"/>
              </w:rPr>
              <w:t>9.8 Data protection policies and governance measures are identified to minimise risks to rights and freedoms (art. 25.2 GDPR).</w:t>
            </w:r>
          </w:p>
        </w:tc>
        <w:tc>
          <w:tcPr>
            <w:tcW w:w="1672" w:type="dxa"/>
            <w:vAlign w:val="center"/>
          </w:tcPr>
          <w:p w14:paraId="1D86DA5E" w14:textId="77777777" w:rsidR="00DF5486" w:rsidRDefault="0005652B">
            <w:pPr>
              <w:pStyle w:val="Normal2"/>
              <w:ind w:firstLine="0"/>
              <w:jc w:val="center"/>
              <w:rPr>
                <w:sz w:val="16"/>
                <w:szCs w:val="18"/>
                <w:lang w:val="en-GB"/>
              </w:rPr>
            </w:pPr>
            <w:r>
              <w:rPr>
                <w:sz w:val="16"/>
                <w:szCs w:val="18"/>
                <w:lang w:val="en-GB"/>
              </w:rPr>
              <w:t>NO</w:t>
            </w:r>
          </w:p>
          <w:p w14:paraId="5974152C" w14:textId="77777777" w:rsidR="00DF5486" w:rsidRDefault="0005652B">
            <w:pPr>
              <w:pStyle w:val="Normal2"/>
              <w:ind w:firstLine="0"/>
              <w:jc w:val="center"/>
              <w:rPr>
                <w:sz w:val="18"/>
                <w:szCs w:val="18"/>
                <w:lang w:val="en-GB"/>
              </w:rPr>
            </w:pPr>
            <w:r>
              <w:rPr>
                <w:sz w:val="16"/>
                <w:szCs w:val="18"/>
                <w:lang w:val="en-GB"/>
              </w:rPr>
              <w:t>YES, AND IT IS DEMONSTRATED</w:t>
            </w:r>
          </w:p>
        </w:tc>
        <w:tc>
          <w:tcPr>
            <w:tcW w:w="4848" w:type="dxa"/>
          </w:tcPr>
          <w:p w14:paraId="555D2EB2" w14:textId="77777777" w:rsidR="00DF5486" w:rsidRDefault="0005652B">
            <w:pPr>
              <w:pStyle w:val="Normal2"/>
              <w:ind w:firstLine="0"/>
              <w:rPr>
                <w:sz w:val="20"/>
                <w:szCs w:val="20"/>
                <w:lang w:val="en-GB"/>
              </w:rPr>
            </w:pPr>
            <w:r>
              <w:rPr>
                <w:sz w:val="20"/>
                <w:szCs w:val="20"/>
                <w:lang w:val="en-GB"/>
              </w:rPr>
              <w:t xml:space="preserve">It is recommended to consult section VIII.C of the </w:t>
            </w:r>
            <w:r w:rsidR="0017413E">
              <w:fldChar w:fldCharType="begin"/>
            </w:r>
            <w:r w:rsidR="0017413E" w:rsidRPr="00C1334D">
              <w:rPr>
                <w:lang w:val="en-US"/>
              </w:rPr>
              <w:instrText xml:space="preserve"> HYPERLINK "https://www.aepd.es/es/documento/risk-management-and-impact-assessment-in-processing-personal-d</w:instrText>
            </w:r>
            <w:r w:rsidR="0017413E" w:rsidRPr="00C1334D">
              <w:rPr>
                <w:lang w:val="en-US"/>
              </w:rPr>
              <w:instrText xml:space="preserve">ata.pdf" \h </w:instrText>
            </w:r>
            <w:r w:rsidR="0017413E">
              <w:fldChar w:fldCharType="separate"/>
            </w:r>
            <w:r>
              <w:rPr>
                <w:rStyle w:val="EnlacedeInternet"/>
                <w:sz w:val="20"/>
                <w:szCs w:val="20"/>
                <w:lang w:val="en-GB"/>
              </w:rPr>
              <w:t>Guide</w:t>
            </w:r>
            <w:r w:rsidR="0017413E">
              <w:rPr>
                <w:rStyle w:val="EnlacedeInternet"/>
                <w:sz w:val="20"/>
                <w:szCs w:val="20"/>
                <w:lang w:val="en-GB"/>
              </w:rPr>
              <w:fldChar w:fldCharType="end"/>
            </w:r>
            <w:r>
              <w:rPr>
                <w:sz w:val="20"/>
                <w:szCs w:val="20"/>
                <w:lang w:val="en-GB"/>
              </w:rPr>
              <w:t xml:space="preserve"> and the following resources:</w:t>
            </w:r>
          </w:p>
          <w:p w14:paraId="72D54A36" w14:textId="77777777" w:rsidR="00DF5486" w:rsidRDefault="0017413E">
            <w:pPr>
              <w:numPr>
                <w:ilvl w:val="0"/>
                <w:numId w:val="3"/>
              </w:numPr>
              <w:shd w:val="clear" w:color="auto" w:fill="FFFFFF"/>
              <w:tabs>
                <w:tab w:val="clear" w:pos="720"/>
                <w:tab w:val="left" w:pos="389"/>
              </w:tabs>
              <w:spacing w:beforeAutospacing="1" w:after="0" w:line="360" w:lineRule="atLeast"/>
              <w:ind w:left="389"/>
              <w:rPr>
                <w:rStyle w:val="EnlacedeInternet"/>
                <w:rFonts w:ascii="Arial" w:hAnsi="Arial" w:cs="Arial"/>
                <w:color w:val="auto"/>
                <w:sz w:val="20"/>
                <w:szCs w:val="20"/>
                <w:lang w:val="en-GB"/>
              </w:rPr>
            </w:pPr>
            <w:hyperlink r:id="rId18" w:tgtFrame="https://www.aepd.es/media/guias/guia-proteccion-datos-por-defecto.pdf">
              <w:r w:rsidR="0005652B">
                <w:rPr>
                  <w:rStyle w:val="EnlacedeInternet"/>
                  <w:rFonts w:ascii="Arial" w:hAnsi="Arial" w:cs="Arial"/>
                  <w:color w:val="auto"/>
                  <w:sz w:val="20"/>
                  <w:szCs w:val="20"/>
                  <w:lang w:val="en-GB"/>
                </w:rPr>
                <w:t>Default Data Protection Guide</w:t>
              </w:r>
            </w:hyperlink>
          </w:p>
          <w:p w14:paraId="7B8CFADD" w14:textId="77777777" w:rsidR="00DF5486" w:rsidRDefault="0017413E">
            <w:pPr>
              <w:numPr>
                <w:ilvl w:val="0"/>
                <w:numId w:val="3"/>
              </w:numPr>
              <w:shd w:val="clear" w:color="auto" w:fill="FFFFFF"/>
              <w:tabs>
                <w:tab w:val="clear" w:pos="720"/>
                <w:tab w:val="left" w:pos="389"/>
              </w:tabs>
              <w:spacing w:after="0" w:line="360" w:lineRule="atLeast"/>
              <w:ind w:left="389"/>
              <w:rPr>
                <w:rFonts w:ascii="Source Sans Pro" w:hAnsi="Source Sans Pro"/>
                <w:b/>
                <w:bCs/>
                <w:sz w:val="23"/>
                <w:szCs w:val="23"/>
                <w:lang w:val="en-GB"/>
              </w:rPr>
            </w:pPr>
            <w:r>
              <w:fldChar w:fldCharType="begin"/>
            </w:r>
            <w:r w:rsidRPr="00C1334D">
              <w:rPr>
                <w:lang w:val="en-US"/>
              </w:rPr>
              <w:instrText xml:space="preserve"> HYPERLINK "https://www.aepd.es/media/guias/PDpD-listado-medidas.xlsx" \t "https://www.aepd.es/media/guias/PDpD-listado-medidas.xlsx" \h </w:instrText>
            </w:r>
            <w:r>
              <w:fldChar w:fldCharType="separate"/>
            </w:r>
            <w:r w:rsidR="0005652B">
              <w:rPr>
                <w:rStyle w:val="EnlacedeInternet"/>
                <w:rFonts w:ascii="Arial" w:hAnsi="Arial" w:cs="Arial"/>
                <w:color w:val="auto"/>
                <w:sz w:val="20"/>
                <w:szCs w:val="20"/>
                <w:lang w:val="en-GB"/>
              </w:rPr>
              <w:t>Data protection by default: List of measures</w:t>
            </w:r>
            <w:r>
              <w:rPr>
                <w:rStyle w:val="EnlacedeInternet"/>
                <w:rFonts w:ascii="Arial" w:hAnsi="Arial" w:cs="Arial"/>
                <w:color w:val="auto"/>
                <w:sz w:val="20"/>
                <w:szCs w:val="20"/>
                <w:lang w:val="en-GB"/>
              </w:rPr>
              <w:fldChar w:fldCharType="end"/>
            </w:r>
          </w:p>
        </w:tc>
      </w:tr>
      <w:tr w:rsidR="00DF5486" w:rsidRPr="00C1334D" w14:paraId="66EEF19D" w14:textId="77777777">
        <w:tc>
          <w:tcPr>
            <w:tcW w:w="3686" w:type="dxa"/>
          </w:tcPr>
          <w:p w14:paraId="717F672B" w14:textId="77777777" w:rsidR="00DF5486" w:rsidRDefault="0005652B">
            <w:pPr>
              <w:pStyle w:val="Normal2"/>
              <w:ind w:firstLine="0"/>
              <w:rPr>
                <w:sz w:val="20"/>
                <w:szCs w:val="20"/>
                <w:lang w:val="en-GB"/>
              </w:rPr>
            </w:pPr>
            <w:r>
              <w:rPr>
                <w:sz w:val="20"/>
                <w:szCs w:val="20"/>
                <w:lang w:val="en-GB"/>
              </w:rPr>
              <w:lastRenderedPageBreak/>
              <w:t>9.9 Data protection measures are identified by design (art. 25.1 GDPR) to minimise risks to rights and freedoms.</w:t>
            </w:r>
          </w:p>
        </w:tc>
        <w:tc>
          <w:tcPr>
            <w:tcW w:w="1672" w:type="dxa"/>
            <w:vAlign w:val="center"/>
          </w:tcPr>
          <w:p w14:paraId="3FA5D94D" w14:textId="77777777" w:rsidR="00DF5486" w:rsidRDefault="0005652B">
            <w:pPr>
              <w:pStyle w:val="Normal2"/>
              <w:ind w:firstLine="0"/>
              <w:jc w:val="center"/>
              <w:rPr>
                <w:sz w:val="16"/>
                <w:szCs w:val="18"/>
                <w:lang w:val="en-GB"/>
              </w:rPr>
            </w:pPr>
            <w:r>
              <w:rPr>
                <w:sz w:val="16"/>
                <w:szCs w:val="18"/>
                <w:lang w:val="en-GB"/>
              </w:rPr>
              <w:t>NO</w:t>
            </w:r>
          </w:p>
          <w:p w14:paraId="588E4267" w14:textId="77777777" w:rsidR="00DF5486" w:rsidRDefault="0005652B">
            <w:pPr>
              <w:pStyle w:val="Normal2"/>
              <w:ind w:firstLine="0"/>
              <w:jc w:val="center"/>
              <w:rPr>
                <w:sz w:val="18"/>
                <w:szCs w:val="18"/>
                <w:lang w:val="en-GB"/>
              </w:rPr>
            </w:pPr>
            <w:r>
              <w:rPr>
                <w:sz w:val="16"/>
                <w:szCs w:val="18"/>
                <w:lang w:val="en-GB"/>
              </w:rPr>
              <w:t>YES, AND IT IS DEMONSTRATED</w:t>
            </w:r>
          </w:p>
        </w:tc>
        <w:tc>
          <w:tcPr>
            <w:tcW w:w="4848" w:type="dxa"/>
          </w:tcPr>
          <w:p w14:paraId="649644AE" w14:textId="77777777" w:rsidR="00DF5486" w:rsidRDefault="0005652B">
            <w:pPr>
              <w:pStyle w:val="Normal2"/>
              <w:ind w:firstLine="0"/>
              <w:rPr>
                <w:sz w:val="20"/>
                <w:szCs w:val="20"/>
                <w:lang w:val="en-GB"/>
              </w:rPr>
            </w:pPr>
            <w:r>
              <w:rPr>
                <w:sz w:val="20"/>
                <w:szCs w:val="20"/>
                <w:lang w:val="en-GB"/>
              </w:rPr>
              <w:t xml:space="preserve">Prior to the development of the product, process or service for which processing may be necessary, data protection measures have been deployed by design, </w:t>
            </w:r>
            <w:proofErr w:type="gramStart"/>
            <w:r>
              <w:rPr>
                <w:sz w:val="20"/>
                <w:szCs w:val="20"/>
                <w:lang w:val="en-GB"/>
              </w:rPr>
              <w:t>taking into account</w:t>
            </w:r>
            <w:proofErr w:type="gramEnd"/>
            <w:r>
              <w:rPr>
                <w:sz w:val="20"/>
                <w:szCs w:val="20"/>
                <w:lang w:val="en-GB"/>
              </w:rPr>
              <w:t xml:space="preserve"> the state of the art, the cost of implementation and the nature, scope, context and purposes of the processing, as well as the risks of varying likelihood and severity of the processing to the rights and freedoms of natural persons.</w:t>
            </w:r>
          </w:p>
          <w:p w14:paraId="73D5AA30" w14:textId="77777777" w:rsidR="00DF5486" w:rsidRDefault="0005652B">
            <w:pPr>
              <w:pStyle w:val="Normal2"/>
              <w:ind w:firstLine="0"/>
              <w:rPr>
                <w:rFonts w:ascii="Source Sans Pro" w:hAnsi="Source Sans Pro"/>
                <w:b/>
                <w:bCs/>
                <w:sz w:val="23"/>
                <w:szCs w:val="23"/>
                <w:lang w:val="en-GB"/>
              </w:rPr>
            </w:pPr>
            <w:r>
              <w:rPr>
                <w:sz w:val="20"/>
                <w:szCs w:val="20"/>
                <w:lang w:val="en-GB"/>
              </w:rPr>
              <w:t>It is recommended to use the AEPD's "</w:t>
            </w:r>
            <w:r w:rsidR="0017413E">
              <w:fldChar w:fldCharType="begin"/>
            </w:r>
            <w:r w:rsidR="0017413E" w:rsidRPr="00C1334D">
              <w:rPr>
                <w:lang w:val="en-US"/>
              </w:rPr>
              <w:instrText xml:space="preserve"> HYPERLINK "https://www.aepd.es/es/documento/guia-privacidad-desde-diseno.pdf" \h </w:instrText>
            </w:r>
            <w:r w:rsidR="0017413E">
              <w:fldChar w:fldCharType="separate"/>
            </w:r>
            <w:r>
              <w:rPr>
                <w:rStyle w:val="EnlacedeInternet"/>
                <w:color w:val="auto"/>
                <w:sz w:val="20"/>
                <w:szCs w:val="20"/>
                <w:lang w:val="en-GB"/>
              </w:rPr>
              <w:t>Privacy by Design Guide</w:t>
            </w:r>
            <w:r w:rsidR="0017413E">
              <w:rPr>
                <w:rStyle w:val="EnlacedeInternet"/>
                <w:color w:val="auto"/>
                <w:sz w:val="20"/>
                <w:szCs w:val="20"/>
                <w:lang w:val="en-GB"/>
              </w:rPr>
              <w:fldChar w:fldCharType="end"/>
            </w:r>
            <w:r>
              <w:rPr>
                <w:sz w:val="20"/>
                <w:szCs w:val="20"/>
                <w:lang w:val="en-GB"/>
              </w:rPr>
              <w:t>".</w:t>
            </w:r>
          </w:p>
        </w:tc>
      </w:tr>
      <w:tr w:rsidR="00DF5486" w:rsidRPr="00C1334D" w14:paraId="1ABE9903" w14:textId="77777777">
        <w:tc>
          <w:tcPr>
            <w:tcW w:w="3686" w:type="dxa"/>
          </w:tcPr>
          <w:p w14:paraId="77B80FBD" w14:textId="77777777" w:rsidR="00DF5486" w:rsidRDefault="0005652B">
            <w:pPr>
              <w:pStyle w:val="Normal2"/>
              <w:ind w:firstLine="0"/>
              <w:rPr>
                <w:sz w:val="20"/>
                <w:szCs w:val="20"/>
                <w:lang w:val="en-GB"/>
              </w:rPr>
            </w:pPr>
            <w:r>
              <w:rPr>
                <w:sz w:val="20"/>
                <w:szCs w:val="20"/>
                <w:lang w:val="en-GB"/>
              </w:rPr>
              <w:t>9.10 The security measures implemented to minimise the risks to rights and freedoms from personal data breaches are identified (art. 32 and Recital 83 GDPR).</w:t>
            </w:r>
          </w:p>
        </w:tc>
        <w:tc>
          <w:tcPr>
            <w:tcW w:w="1672" w:type="dxa"/>
            <w:vAlign w:val="center"/>
          </w:tcPr>
          <w:p w14:paraId="6B40C197" w14:textId="77777777" w:rsidR="00DF5486" w:rsidRDefault="0005652B">
            <w:pPr>
              <w:pStyle w:val="Normal2"/>
              <w:ind w:firstLine="0"/>
              <w:jc w:val="center"/>
              <w:rPr>
                <w:sz w:val="16"/>
                <w:szCs w:val="18"/>
                <w:lang w:val="en-GB"/>
              </w:rPr>
            </w:pPr>
            <w:r>
              <w:rPr>
                <w:sz w:val="16"/>
                <w:szCs w:val="18"/>
                <w:lang w:val="en-GB"/>
              </w:rPr>
              <w:t>NO</w:t>
            </w:r>
          </w:p>
          <w:p w14:paraId="2E4FA87B" w14:textId="77777777" w:rsidR="00DF5486" w:rsidRDefault="0005652B">
            <w:pPr>
              <w:pStyle w:val="Normal2"/>
              <w:ind w:firstLine="0"/>
              <w:jc w:val="center"/>
              <w:rPr>
                <w:sz w:val="18"/>
                <w:szCs w:val="18"/>
                <w:lang w:val="en-GB"/>
              </w:rPr>
            </w:pPr>
            <w:r>
              <w:rPr>
                <w:sz w:val="16"/>
                <w:szCs w:val="18"/>
                <w:lang w:val="en-GB"/>
              </w:rPr>
              <w:t>YES, AND IT IS DEMONSTRATED</w:t>
            </w:r>
          </w:p>
        </w:tc>
        <w:tc>
          <w:tcPr>
            <w:tcW w:w="4848" w:type="dxa"/>
          </w:tcPr>
          <w:p w14:paraId="40FF3C71" w14:textId="77777777" w:rsidR="00DF5486" w:rsidRDefault="0005652B">
            <w:pPr>
              <w:pStyle w:val="Normal2"/>
              <w:ind w:firstLine="0"/>
              <w:rPr>
                <w:sz w:val="20"/>
                <w:szCs w:val="20"/>
                <w:lang w:val="en-GB"/>
              </w:rPr>
            </w:pPr>
            <w:r>
              <w:rPr>
                <w:sz w:val="20"/>
                <w:szCs w:val="20"/>
                <w:lang w:val="en-GB"/>
              </w:rPr>
              <w:t>The DPIA documentation must describe the methodology and ISMS used, as well as its application: inventory of assets, inventory of threats and vulnerabilities associated with each of the identified assets, risk assessment (probability x impact), applicable measures, etc., related to the life cycle of the data in the processing.</w:t>
            </w:r>
          </w:p>
        </w:tc>
      </w:tr>
      <w:tr w:rsidR="00DF5486" w:rsidRPr="00C1334D" w14:paraId="3A139BF0" w14:textId="77777777">
        <w:tc>
          <w:tcPr>
            <w:tcW w:w="3686" w:type="dxa"/>
          </w:tcPr>
          <w:p w14:paraId="1D00D964" w14:textId="77777777" w:rsidR="00DF5486" w:rsidRDefault="0005652B">
            <w:pPr>
              <w:pStyle w:val="Normal2"/>
              <w:ind w:firstLine="0"/>
              <w:rPr>
                <w:sz w:val="20"/>
                <w:szCs w:val="20"/>
                <w:lang w:val="en-GB"/>
              </w:rPr>
            </w:pPr>
            <w:r>
              <w:rPr>
                <w:sz w:val="20"/>
                <w:szCs w:val="20"/>
                <w:lang w:val="en-GB"/>
              </w:rPr>
              <w:t xml:space="preserve">9.11 Following the implementation of appropriate measures to avoid and/or mitigate the identified risks, the risk reassessment is carried out </w:t>
            </w:r>
            <w:proofErr w:type="gramStart"/>
            <w:r>
              <w:rPr>
                <w:sz w:val="20"/>
                <w:szCs w:val="20"/>
                <w:lang w:val="en-GB"/>
              </w:rPr>
              <w:t>taking into account</w:t>
            </w:r>
            <w:proofErr w:type="gramEnd"/>
            <w:r>
              <w:rPr>
                <w:sz w:val="20"/>
                <w:szCs w:val="20"/>
                <w:lang w:val="en-GB"/>
              </w:rPr>
              <w:t xml:space="preserve"> the effect of these measures in relation to the impact and in relation to the likelihood on a stand-alone basis.</w:t>
            </w:r>
          </w:p>
        </w:tc>
        <w:tc>
          <w:tcPr>
            <w:tcW w:w="1672" w:type="dxa"/>
            <w:vAlign w:val="center"/>
          </w:tcPr>
          <w:p w14:paraId="44A087E0" w14:textId="77777777" w:rsidR="00DF5486" w:rsidRDefault="0005652B">
            <w:pPr>
              <w:pStyle w:val="Normal2"/>
              <w:ind w:firstLine="0"/>
              <w:jc w:val="center"/>
              <w:rPr>
                <w:sz w:val="16"/>
                <w:szCs w:val="18"/>
                <w:lang w:val="en-GB"/>
              </w:rPr>
            </w:pPr>
            <w:r>
              <w:rPr>
                <w:sz w:val="16"/>
                <w:szCs w:val="18"/>
                <w:lang w:val="en-GB"/>
              </w:rPr>
              <w:t>NO</w:t>
            </w:r>
          </w:p>
          <w:p w14:paraId="5D897F34" w14:textId="77777777" w:rsidR="00DF5486" w:rsidRDefault="0005652B">
            <w:pPr>
              <w:pStyle w:val="Normal2"/>
              <w:ind w:firstLine="0"/>
              <w:jc w:val="center"/>
              <w:rPr>
                <w:sz w:val="18"/>
                <w:szCs w:val="18"/>
                <w:lang w:val="en-GB"/>
              </w:rPr>
            </w:pPr>
            <w:r>
              <w:rPr>
                <w:sz w:val="16"/>
                <w:szCs w:val="18"/>
                <w:lang w:val="en-GB"/>
              </w:rPr>
              <w:t>YES, AND IT IS DEMONSTRATED</w:t>
            </w:r>
          </w:p>
        </w:tc>
        <w:tc>
          <w:tcPr>
            <w:tcW w:w="4848" w:type="dxa"/>
          </w:tcPr>
          <w:p w14:paraId="7EE1DE21" w14:textId="77777777" w:rsidR="00DF5486" w:rsidRDefault="0005652B">
            <w:pPr>
              <w:pStyle w:val="Normal2"/>
              <w:ind w:firstLine="0"/>
              <w:rPr>
                <w:sz w:val="20"/>
                <w:szCs w:val="20"/>
                <w:lang w:val="en-GB"/>
              </w:rPr>
            </w:pPr>
            <w:r>
              <w:rPr>
                <w:sz w:val="20"/>
                <w:szCs w:val="20"/>
                <w:lang w:val="en-GB"/>
              </w:rPr>
              <w:t xml:space="preserve">A measure or control to mitigate or eliminate a risk will have effects on its impact and/or likelihood of materialisation. These effects shall be justified </w:t>
            </w:r>
            <w:proofErr w:type="gramStart"/>
            <w:r>
              <w:rPr>
                <w:sz w:val="20"/>
                <w:szCs w:val="20"/>
                <w:lang w:val="en-GB"/>
              </w:rPr>
              <w:t>in order to</w:t>
            </w:r>
            <w:proofErr w:type="gramEnd"/>
            <w:r>
              <w:rPr>
                <w:sz w:val="20"/>
                <w:szCs w:val="20"/>
                <w:lang w:val="en-GB"/>
              </w:rPr>
              <w:t xml:space="preserve"> finally assess the residual risk.</w:t>
            </w:r>
          </w:p>
        </w:tc>
      </w:tr>
      <w:tr w:rsidR="00DF5486" w:rsidRPr="00C1334D" w14:paraId="122E9EEF" w14:textId="77777777">
        <w:tc>
          <w:tcPr>
            <w:tcW w:w="3686" w:type="dxa"/>
          </w:tcPr>
          <w:p w14:paraId="1D521B15" w14:textId="77777777" w:rsidR="00DF5486" w:rsidRDefault="0005652B">
            <w:pPr>
              <w:pStyle w:val="Normal2"/>
              <w:ind w:firstLine="0"/>
              <w:rPr>
                <w:sz w:val="20"/>
                <w:szCs w:val="20"/>
                <w:lang w:val="en-GB"/>
              </w:rPr>
            </w:pPr>
            <w:r>
              <w:rPr>
                <w:sz w:val="20"/>
                <w:szCs w:val="20"/>
                <w:lang w:val="en-GB"/>
              </w:rPr>
              <w:t>9.12 As a consequence of the implementation of the measures introduced in the processing to avoid and/or mitigate the identified risks, the identification of new risks that could negatively affect the data subjects has been carried out again.</w:t>
            </w:r>
          </w:p>
        </w:tc>
        <w:tc>
          <w:tcPr>
            <w:tcW w:w="1672" w:type="dxa"/>
            <w:vAlign w:val="center"/>
          </w:tcPr>
          <w:p w14:paraId="71E5C6BF" w14:textId="77777777" w:rsidR="00DF5486" w:rsidRDefault="0005652B">
            <w:pPr>
              <w:pStyle w:val="Normal2"/>
              <w:ind w:firstLine="0"/>
              <w:jc w:val="center"/>
              <w:rPr>
                <w:sz w:val="16"/>
                <w:szCs w:val="18"/>
                <w:lang w:val="en-GB"/>
              </w:rPr>
            </w:pPr>
            <w:r>
              <w:rPr>
                <w:sz w:val="16"/>
                <w:szCs w:val="18"/>
                <w:lang w:val="en-GB"/>
              </w:rPr>
              <w:t>NO</w:t>
            </w:r>
          </w:p>
          <w:p w14:paraId="17069097" w14:textId="77777777" w:rsidR="00DF5486" w:rsidRDefault="0005652B">
            <w:pPr>
              <w:pStyle w:val="Normal2"/>
              <w:ind w:firstLine="0"/>
              <w:jc w:val="center"/>
              <w:rPr>
                <w:sz w:val="18"/>
                <w:szCs w:val="18"/>
                <w:lang w:val="en-GB"/>
              </w:rPr>
            </w:pPr>
            <w:r>
              <w:rPr>
                <w:sz w:val="16"/>
                <w:szCs w:val="18"/>
                <w:lang w:val="en-GB"/>
              </w:rPr>
              <w:t>YES, AND IT IS DEMONSTRATED</w:t>
            </w:r>
          </w:p>
        </w:tc>
        <w:tc>
          <w:tcPr>
            <w:tcW w:w="4848" w:type="dxa"/>
          </w:tcPr>
          <w:p w14:paraId="71E5A66D" w14:textId="77777777" w:rsidR="00DF5486" w:rsidRDefault="0005652B">
            <w:pPr>
              <w:pStyle w:val="Normal2"/>
              <w:ind w:firstLine="0"/>
              <w:rPr>
                <w:sz w:val="20"/>
                <w:szCs w:val="20"/>
                <w:lang w:val="en-GB"/>
              </w:rPr>
            </w:pPr>
            <w:r>
              <w:rPr>
                <w:sz w:val="20"/>
                <w:szCs w:val="20"/>
                <w:lang w:val="en-GB"/>
              </w:rPr>
              <w:t>Risk management is an iterative process. The implementation of a risk mitigation measure may in turn lead to the emergence of new risks or unintended consequences for the data subjects. After the implementation of the measures, a new risk identification process must be carried out again.</w:t>
            </w:r>
          </w:p>
        </w:tc>
      </w:tr>
      <w:tr w:rsidR="00DF5486" w:rsidRPr="00C1334D" w14:paraId="1D80530A" w14:textId="77777777">
        <w:tc>
          <w:tcPr>
            <w:tcW w:w="3686" w:type="dxa"/>
          </w:tcPr>
          <w:p w14:paraId="2193E9B4" w14:textId="77777777" w:rsidR="00DF5486" w:rsidRDefault="0005652B">
            <w:pPr>
              <w:pStyle w:val="Normal2"/>
              <w:ind w:firstLine="0"/>
              <w:rPr>
                <w:sz w:val="20"/>
                <w:szCs w:val="20"/>
                <w:lang w:val="en-GB"/>
              </w:rPr>
            </w:pPr>
            <w:r>
              <w:rPr>
                <w:sz w:val="20"/>
                <w:szCs w:val="20"/>
                <w:lang w:val="en-GB"/>
              </w:rPr>
              <w:t>9.13 An estimate of the level of residual risk achieved by the treatment has been made and each source of risk has been categorised by severity, concluding that the residual risk to the data subjects is low.</w:t>
            </w:r>
          </w:p>
        </w:tc>
        <w:tc>
          <w:tcPr>
            <w:tcW w:w="1672" w:type="dxa"/>
            <w:vAlign w:val="center"/>
          </w:tcPr>
          <w:p w14:paraId="42795EAE" w14:textId="77777777" w:rsidR="00DF5486" w:rsidRDefault="0005652B">
            <w:pPr>
              <w:pStyle w:val="Normal2"/>
              <w:ind w:firstLine="0"/>
              <w:jc w:val="center"/>
              <w:rPr>
                <w:sz w:val="16"/>
                <w:szCs w:val="18"/>
                <w:lang w:val="en-GB"/>
              </w:rPr>
            </w:pPr>
            <w:r>
              <w:rPr>
                <w:sz w:val="16"/>
                <w:szCs w:val="18"/>
                <w:lang w:val="en-GB"/>
              </w:rPr>
              <w:t>NO</w:t>
            </w:r>
          </w:p>
          <w:p w14:paraId="45320D35" w14:textId="77777777" w:rsidR="00DF5486" w:rsidRDefault="0005652B">
            <w:pPr>
              <w:pStyle w:val="Normal2"/>
              <w:ind w:firstLine="0"/>
              <w:jc w:val="center"/>
              <w:rPr>
                <w:sz w:val="18"/>
                <w:szCs w:val="18"/>
                <w:lang w:val="en-GB"/>
              </w:rPr>
            </w:pPr>
            <w:r>
              <w:rPr>
                <w:sz w:val="16"/>
                <w:szCs w:val="18"/>
                <w:lang w:val="en-GB"/>
              </w:rPr>
              <w:t>YES, AND IT IS DEMONSTRATED</w:t>
            </w:r>
          </w:p>
        </w:tc>
        <w:tc>
          <w:tcPr>
            <w:tcW w:w="4848" w:type="dxa"/>
          </w:tcPr>
          <w:p w14:paraId="2C31757C" w14:textId="77777777" w:rsidR="00DF5486" w:rsidRDefault="0005652B">
            <w:pPr>
              <w:pStyle w:val="Normal2"/>
              <w:ind w:firstLine="0"/>
              <w:rPr>
                <w:sz w:val="20"/>
                <w:szCs w:val="20"/>
                <w:lang w:val="en-GB"/>
              </w:rPr>
            </w:pPr>
            <w:r>
              <w:rPr>
                <w:sz w:val="20"/>
                <w:szCs w:val="20"/>
                <w:lang w:val="en-GB"/>
              </w:rPr>
              <w:t xml:space="preserve">In the DPIA documentation the residual risk </w:t>
            </w:r>
            <w:proofErr w:type="gramStart"/>
            <w:r>
              <w:rPr>
                <w:sz w:val="20"/>
                <w:szCs w:val="20"/>
                <w:lang w:val="en-GB"/>
              </w:rPr>
              <w:t>has to</w:t>
            </w:r>
            <w:proofErr w:type="gramEnd"/>
            <w:r>
              <w:rPr>
                <w:sz w:val="20"/>
                <w:szCs w:val="20"/>
                <w:lang w:val="en-GB"/>
              </w:rPr>
              <w:t xml:space="preserve"> be assessed in accordance with the risk management policy of the organisation, in case the residual risk is low or negligible, the possible prior consultation referred to in Article 36 shall not take place.</w:t>
            </w:r>
          </w:p>
          <w:p w14:paraId="0074D79D" w14:textId="77777777" w:rsidR="00DF5486" w:rsidRDefault="0005652B">
            <w:pPr>
              <w:pStyle w:val="Normal2"/>
              <w:ind w:firstLine="0"/>
              <w:rPr>
                <w:sz w:val="20"/>
                <w:szCs w:val="20"/>
                <w:lang w:val="en-GB"/>
              </w:rPr>
            </w:pPr>
            <w:r>
              <w:rPr>
                <w:sz w:val="20"/>
                <w:szCs w:val="20"/>
                <w:lang w:val="en-GB"/>
              </w:rPr>
              <w:t>If there are risks for which the data controller has not been able to take measures, a request for prior consultation as referred to in Article 36 of the GDPR must be made.</w:t>
            </w:r>
          </w:p>
        </w:tc>
      </w:tr>
      <w:tr w:rsidR="00DF5486" w:rsidRPr="00C1334D" w14:paraId="7BF1958C" w14:textId="77777777">
        <w:tc>
          <w:tcPr>
            <w:tcW w:w="3686" w:type="dxa"/>
          </w:tcPr>
          <w:p w14:paraId="5EFE7887" w14:textId="77777777" w:rsidR="00DF5486" w:rsidRDefault="0005652B">
            <w:pPr>
              <w:pStyle w:val="Normal2"/>
              <w:ind w:firstLine="0"/>
              <w:rPr>
                <w:sz w:val="20"/>
                <w:szCs w:val="20"/>
                <w:lang w:val="en-GB"/>
              </w:rPr>
            </w:pPr>
            <w:r>
              <w:rPr>
                <w:sz w:val="20"/>
                <w:szCs w:val="20"/>
                <w:lang w:val="en-GB"/>
              </w:rPr>
              <w:t>9.14 There is an action plan for the implementation of risk management.</w:t>
            </w:r>
          </w:p>
        </w:tc>
        <w:tc>
          <w:tcPr>
            <w:tcW w:w="1672" w:type="dxa"/>
            <w:vAlign w:val="center"/>
          </w:tcPr>
          <w:p w14:paraId="6362CCD6" w14:textId="77777777" w:rsidR="00DF5486" w:rsidRDefault="0005652B">
            <w:pPr>
              <w:pStyle w:val="Normal2"/>
              <w:ind w:firstLine="0"/>
              <w:jc w:val="center"/>
              <w:rPr>
                <w:sz w:val="16"/>
                <w:szCs w:val="18"/>
                <w:lang w:val="en-GB"/>
              </w:rPr>
            </w:pPr>
            <w:r>
              <w:rPr>
                <w:sz w:val="16"/>
                <w:szCs w:val="18"/>
                <w:lang w:val="en-GB"/>
              </w:rPr>
              <w:t>NO</w:t>
            </w:r>
          </w:p>
          <w:p w14:paraId="60592494" w14:textId="77777777" w:rsidR="00DF5486" w:rsidRDefault="0005652B">
            <w:pPr>
              <w:pStyle w:val="Normal2"/>
              <w:ind w:firstLine="0"/>
              <w:jc w:val="center"/>
              <w:rPr>
                <w:sz w:val="18"/>
                <w:szCs w:val="18"/>
                <w:lang w:val="en-GB"/>
              </w:rPr>
            </w:pPr>
            <w:r>
              <w:rPr>
                <w:sz w:val="16"/>
                <w:szCs w:val="18"/>
                <w:lang w:val="en-GB"/>
              </w:rPr>
              <w:t xml:space="preserve">YES, AND IT IS </w:t>
            </w:r>
            <w:r>
              <w:rPr>
                <w:sz w:val="16"/>
                <w:szCs w:val="18"/>
                <w:lang w:val="en-GB"/>
              </w:rPr>
              <w:lastRenderedPageBreak/>
              <w:t>DEMONSTRATED</w:t>
            </w:r>
          </w:p>
        </w:tc>
        <w:tc>
          <w:tcPr>
            <w:tcW w:w="4848" w:type="dxa"/>
          </w:tcPr>
          <w:p w14:paraId="56DD1EC0" w14:textId="77777777" w:rsidR="00DF5486" w:rsidRDefault="0005652B">
            <w:pPr>
              <w:pStyle w:val="Normal2"/>
              <w:ind w:firstLine="0"/>
              <w:rPr>
                <w:sz w:val="20"/>
                <w:szCs w:val="20"/>
                <w:lang w:val="en-GB"/>
              </w:rPr>
            </w:pPr>
            <w:r>
              <w:rPr>
                <w:sz w:val="20"/>
                <w:szCs w:val="20"/>
                <w:lang w:val="en-GB"/>
              </w:rPr>
              <w:lastRenderedPageBreak/>
              <w:t xml:space="preserve">Once the manager considers that the residual risk is acceptable, an action plan for the management of the identified risks should be drawn up, which will </w:t>
            </w:r>
            <w:r>
              <w:rPr>
                <w:sz w:val="20"/>
                <w:szCs w:val="20"/>
                <w:lang w:val="en-GB"/>
              </w:rPr>
              <w:lastRenderedPageBreak/>
              <w:t>be associated with the processing life cycle and the data life cycle.</w:t>
            </w:r>
          </w:p>
        </w:tc>
      </w:tr>
    </w:tbl>
    <w:p w14:paraId="7E0307FA" w14:textId="77777777" w:rsidR="00DF5486" w:rsidRDefault="0005652B">
      <w:pPr>
        <w:spacing w:after="0" w:line="240" w:lineRule="auto"/>
        <w:rPr>
          <w:rFonts w:ascii="Arial" w:hAnsi="Arial" w:cs="Arial"/>
          <w:lang w:val="en-GB"/>
        </w:rPr>
      </w:pPr>
      <w:r w:rsidRPr="00CD0BE3">
        <w:rPr>
          <w:lang w:val="en-US"/>
        </w:rPr>
        <w:lastRenderedPageBreak/>
        <w:br w:type="page"/>
      </w:r>
    </w:p>
    <w:p w14:paraId="55560638" w14:textId="77777777" w:rsidR="00DF5486" w:rsidRDefault="00DF5486">
      <w:pPr>
        <w:pStyle w:val="Normal2"/>
        <w:rPr>
          <w:lang w:val="en-GB"/>
        </w:rPr>
      </w:pPr>
    </w:p>
    <w:p w14:paraId="60396AAF" w14:textId="77777777" w:rsidR="00DF5486" w:rsidRDefault="0005652B">
      <w:pPr>
        <w:pStyle w:val="Ttulo2"/>
        <w:rPr>
          <w:lang w:val="en-GB"/>
        </w:rPr>
      </w:pPr>
      <w:r>
        <w:rPr>
          <w:lang w:val="en-GB"/>
        </w:rPr>
        <w:t>Where appropriate, the analysis of the opinion of data subjects or their representatives in relation to the intended processing (Fifth paragraph 5.j of Instruction 1/2021).</w:t>
      </w:r>
    </w:p>
    <w:tbl>
      <w:tblPr>
        <w:tblStyle w:val="Tablaconcuadrcula"/>
        <w:tblW w:w="10206" w:type="dxa"/>
        <w:tblInd w:w="-572" w:type="dxa"/>
        <w:tblLayout w:type="fixed"/>
        <w:tblLook w:val="04A0" w:firstRow="1" w:lastRow="0" w:firstColumn="1" w:lastColumn="0" w:noHBand="0" w:noVBand="1"/>
      </w:tblPr>
      <w:tblGrid>
        <w:gridCol w:w="3686"/>
        <w:gridCol w:w="1672"/>
        <w:gridCol w:w="4848"/>
      </w:tblGrid>
      <w:tr w:rsidR="00DF5486" w:rsidRPr="00C1334D" w14:paraId="6CEC6663" w14:textId="77777777">
        <w:tc>
          <w:tcPr>
            <w:tcW w:w="3686" w:type="dxa"/>
            <w:shd w:val="clear" w:color="auto" w:fill="FFDE93"/>
          </w:tcPr>
          <w:p w14:paraId="15BE9B56" w14:textId="77777777" w:rsidR="00DF5486" w:rsidRDefault="0005652B">
            <w:pPr>
              <w:pStyle w:val="Normal2"/>
              <w:ind w:firstLine="0"/>
              <w:jc w:val="center"/>
              <w:rPr>
                <w:b/>
                <w:bCs/>
                <w:sz w:val="20"/>
                <w:szCs w:val="20"/>
                <w:lang w:val="en-GB"/>
              </w:rPr>
            </w:pPr>
            <w:r>
              <w:rPr>
                <w:b/>
                <w:bCs/>
                <w:sz w:val="20"/>
                <w:szCs w:val="20"/>
                <w:lang w:val="en-GB"/>
              </w:rPr>
              <w:t>ELEMENTS OF VERIFICATION</w:t>
            </w:r>
          </w:p>
        </w:tc>
        <w:tc>
          <w:tcPr>
            <w:tcW w:w="1672" w:type="dxa"/>
            <w:shd w:val="clear" w:color="auto" w:fill="FFDE93"/>
          </w:tcPr>
          <w:p w14:paraId="4C59EAF6" w14:textId="77777777" w:rsidR="00DF5486" w:rsidRDefault="0005652B">
            <w:pPr>
              <w:pStyle w:val="Normal2"/>
              <w:ind w:firstLine="0"/>
              <w:jc w:val="center"/>
              <w:rPr>
                <w:b/>
                <w:bCs/>
                <w:sz w:val="18"/>
                <w:szCs w:val="18"/>
                <w:lang w:val="en-GB"/>
              </w:rPr>
            </w:pPr>
            <w:r>
              <w:rPr>
                <w:b/>
                <w:bCs/>
                <w:sz w:val="18"/>
                <w:szCs w:val="18"/>
                <w:lang w:val="en-GB"/>
              </w:rPr>
              <w:t>CHECK</w:t>
            </w:r>
          </w:p>
        </w:tc>
        <w:tc>
          <w:tcPr>
            <w:tcW w:w="4848" w:type="dxa"/>
            <w:shd w:val="clear" w:color="auto" w:fill="FFDE93"/>
          </w:tcPr>
          <w:p w14:paraId="3097CC77" w14:textId="77777777" w:rsidR="00DF5486" w:rsidRDefault="0005652B">
            <w:pPr>
              <w:pStyle w:val="Normal2"/>
              <w:ind w:firstLine="0"/>
              <w:jc w:val="center"/>
              <w:rPr>
                <w:b/>
                <w:bCs/>
                <w:sz w:val="20"/>
                <w:szCs w:val="20"/>
                <w:lang w:val="en-GB"/>
              </w:rPr>
            </w:pPr>
            <w:r>
              <w:rPr>
                <w:b/>
                <w:bCs/>
                <w:sz w:val="20"/>
                <w:szCs w:val="20"/>
                <w:lang w:val="en-GB"/>
              </w:rPr>
              <w:t>COMMENTS</w:t>
            </w:r>
          </w:p>
          <w:p w14:paraId="4A8BB6B0" w14:textId="77777777" w:rsidR="00DF5486" w:rsidRDefault="0005652B">
            <w:pPr>
              <w:pStyle w:val="Normal2"/>
              <w:ind w:firstLine="0"/>
              <w:jc w:val="center"/>
              <w:rPr>
                <w:sz w:val="20"/>
                <w:szCs w:val="20"/>
                <w:lang w:val="en-GB"/>
              </w:rPr>
            </w:pPr>
            <w:r>
              <w:rPr>
                <w:sz w:val="20"/>
                <w:szCs w:val="20"/>
                <w:lang w:val="en-GB"/>
              </w:rPr>
              <w:t>(</w:t>
            </w:r>
            <w:proofErr w:type="gramStart"/>
            <w:r>
              <w:rPr>
                <w:sz w:val="20"/>
                <w:szCs w:val="20"/>
                <w:lang w:val="en-GB"/>
              </w:rPr>
              <w:t>replace</w:t>
            </w:r>
            <w:proofErr w:type="gramEnd"/>
            <w:r>
              <w:rPr>
                <w:sz w:val="20"/>
                <w:szCs w:val="20"/>
                <w:lang w:val="en-GB"/>
              </w:rPr>
              <w:t xml:space="preserve"> these comments with the appropriate ones in each case)</w:t>
            </w:r>
          </w:p>
        </w:tc>
      </w:tr>
      <w:tr w:rsidR="00DF5486" w:rsidRPr="00C1334D" w14:paraId="4C0B802B" w14:textId="77777777">
        <w:tc>
          <w:tcPr>
            <w:tcW w:w="3686" w:type="dxa"/>
          </w:tcPr>
          <w:p w14:paraId="4420C5BF" w14:textId="77777777" w:rsidR="00DF5486" w:rsidRDefault="0005652B">
            <w:pPr>
              <w:pStyle w:val="Normal2"/>
              <w:ind w:firstLine="0"/>
              <w:rPr>
                <w:sz w:val="20"/>
                <w:szCs w:val="20"/>
                <w:lang w:val="en-GB"/>
              </w:rPr>
            </w:pPr>
            <w:r>
              <w:rPr>
                <w:sz w:val="20"/>
                <w:szCs w:val="20"/>
                <w:lang w:val="en-GB"/>
              </w:rPr>
              <w:t>10.1 Where appropriate, in the process of identifying and assessing the risk to rights and freedoms, the opinion of data subjects or their representatives has been sought and analysed in relation to the intended processing (Art. 35.9 GDPR).</w:t>
            </w:r>
          </w:p>
        </w:tc>
        <w:tc>
          <w:tcPr>
            <w:tcW w:w="1672" w:type="dxa"/>
            <w:vAlign w:val="center"/>
          </w:tcPr>
          <w:p w14:paraId="384F0BE0" w14:textId="77777777" w:rsidR="00DF5486" w:rsidRDefault="0005652B">
            <w:pPr>
              <w:pStyle w:val="Normal2"/>
              <w:ind w:firstLine="0"/>
              <w:jc w:val="center"/>
              <w:rPr>
                <w:sz w:val="16"/>
                <w:szCs w:val="18"/>
                <w:lang w:val="en-GB"/>
              </w:rPr>
            </w:pPr>
            <w:r>
              <w:rPr>
                <w:sz w:val="16"/>
                <w:szCs w:val="18"/>
                <w:lang w:val="en-GB"/>
              </w:rPr>
              <w:t>NO</w:t>
            </w:r>
          </w:p>
          <w:p w14:paraId="4B8761E6" w14:textId="77777777" w:rsidR="00DF5486" w:rsidRDefault="0005652B">
            <w:pPr>
              <w:pStyle w:val="Normal2"/>
              <w:ind w:firstLine="0"/>
              <w:jc w:val="center"/>
              <w:rPr>
                <w:sz w:val="18"/>
                <w:szCs w:val="18"/>
                <w:lang w:val="en-GB"/>
              </w:rPr>
            </w:pPr>
            <w:r>
              <w:rPr>
                <w:sz w:val="16"/>
                <w:szCs w:val="18"/>
                <w:lang w:val="en-GB"/>
              </w:rPr>
              <w:t>YES, AND IT IS DEMONSTRATED</w:t>
            </w:r>
          </w:p>
        </w:tc>
        <w:tc>
          <w:tcPr>
            <w:tcW w:w="4848" w:type="dxa"/>
          </w:tcPr>
          <w:p w14:paraId="23C38002" w14:textId="77777777" w:rsidR="00DF5486" w:rsidRDefault="0005652B">
            <w:pPr>
              <w:pStyle w:val="Normal2"/>
              <w:ind w:firstLine="0"/>
              <w:rPr>
                <w:sz w:val="20"/>
                <w:szCs w:val="20"/>
                <w:lang w:val="en-GB"/>
              </w:rPr>
            </w:pPr>
            <w:r>
              <w:rPr>
                <w:sz w:val="20"/>
                <w:szCs w:val="20"/>
                <w:lang w:val="en-GB"/>
              </w:rPr>
              <w:t xml:space="preserve">If a consultation process has been carried out with data </w:t>
            </w:r>
            <w:proofErr w:type="gramStart"/>
            <w:r>
              <w:rPr>
                <w:sz w:val="20"/>
                <w:szCs w:val="20"/>
                <w:lang w:val="en-GB"/>
              </w:rPr>
              <w:t>subjects</w:t>
            </w:r>
            <w:proofErr w:type="gramEnd"/>
            <w:r>
              <w:rPr>
                <w:sz w:val="20"/>
                <w:szCs w:val="20"/>
                <w:lang w:val="en-GB"/>
              </w:rPr>
              <w:t xml:space="preserve"> groups, data subjects or entities representing potential data subjects, the consultation process, the groups and their representativeness, the conclusions and the measures adopted on the basis of these conclusions should be reflected in the DPIA documentation.</w:t>
            </w:r>
          </w:p>
          <w:p w14:paraId="1E12A332" w14:textId="77777777" w:rsidR="00DF5486" w:rsidRDefault="0005652B">
            <w:pPr>
              <w:pStyle w:val="Normal2"/>
              <w:ind w:firstLine="0"/>
              <w:rPr>
                <w:sz w:val="20"/>
                <w:szCs w:val="20"/>
                <w:lang w:val="en-GB"/>
              </w:rPr>
            </w:pPr>
            <w:r>
              <w:rPr>
                <w:sz w:val="20"/>
                <w:szCs w:val="20"/>
                <w:lang w:val="en-GB"/>
              </w:rPr>
              <w:t xml:space="preserve">In doing so, the considerations set out in Chapter XV of the </w:t>
            </w:r>
            <w:r w:rsidR="0017413E">
              <w:fldChar w:fldCharType="begin"/>
            </w:r>
            <w:r w:rsidR="0017413E" w:rsidRPr="00C1334D">
              <w:rPr>
                <w:lang w:val="en-US"/>
              </w:rPr>
              <w:instrText xml:space="preserve"> HYPERLINK "https://www.aepd.es/es/documento/risk-management-and-impact-assessment-i</w:instrText>
            </w:r>
            <w:r w:rsidR="0017413E" w:rsidRPr="00C1334D">
              <w:rPr>
                <w:lang w:val="en-US"/>
              </w:rPr>
              <w:instrText xml:space="preserve">n-processing-personal-data.pdf" \h </w:instrText>
            </w:r>
            <w:r w:rsidR="0017413E">
              <w:fldChar w:fldCharType="separate"/>
            </w:r>
            <w:r>
              <w:rPr>
                <w:rStyle w:val="EnlacedeInternet"/>
                <w:sz w:val="20"/>
                <w:szCs w:val="20"/>
                <w:lang w:val="en-GB"/>
              </w:rPr>
              <w:t>Guide</w:t>
            </w:r>
            <w:r w:rsidR="0017413E">
              <w:rPr>
                <w:rStyle w:val="EnlacedeInternet"/>
                <w:sz w:val="20"/>
                <w:szCs w:val="20"/>
                <w:lang w:val="en-GB"/>
              </w:rPr>
              <w:fldChar w:fldCharType="end"/>
            </w:r>
            <w:r>
              <w:rPr>
                <w:sz w:val="20"/>
                <w:szCs w:val="20"/>
                <w:lang w:val="en-GB"/>
              </w:rPr>
              <w:t xml:space="preserve"> have been taken into account.</w:t>
            </w:r>
          </w:p>
        </w:tc>
      </w:tr>
    </w:tbl>
    <w:p w14:paraId="7040C4A4" w14:textId="77777777" w:rsidR="00DF5486" w:rsidRDefault="00DF5486">
      <w:pPr>
        <w:pStyle w:val="Normal2"/>
        <w:rPr>
          <w:lang w:val="en-GB"/>
        </w:rPr>
      </w:pPr>
    </w:p>
    <w:p w14:paraId="7FC4AB4E" w14:textId="77777777" w:rsidR="00DF5486" w:rsidRDefault="0005652B">
      <w:pPr>
        <w:spacing w:after="0" w:line="240" w:lineRule="auto"/>
        <w:rPr>
          <w:rFonts w:ascii="Arial" w:hAnsi="Arial" w:cs="Arial"/>
          <w:lang w:val="en-GB"/>
        </w:rPr>
      </w:pPr>
      <w:r w:rsidRPr="00CD0BE3">
        <w:rPr>
          <w:lang w:val="en-US"/>
        </w:rPr>
        <w:br w:type="page"/>
      </w:r>
    </w:p>
    <w:p w14:paraId="36ECC68C" w14:textId="77777777" w:rsidR="00DF5486" w:rsidRDefault="0005652B">
      <w:pPr>
        <w:pStyle w:val="Ttulo2"/>
        <w:rPr>
          <w:lang w:val="en-GB"/>
        </w:rPr>
      </w:pPr>
      <w:r>
        <w:rPr>
          <w:lang w:val="en-GB"/>
        </w:rPr>
        <w:lastRenderedPageBreak/>
        <w:t>There is an objective and positive assessment of the appropriateness, necessity and proportionality of the treatment (Fifth paragraph 5.k of Instruction 1/2021).</w:t>
      </w:r>
    </w:p>
    <w:p w14:paraId="3489C266" w14:textId="77777777" w:rsidR="00DF5486" w:rsidRDefault="0005652B">
      <w:pPr>
        <w:rPr>
          <w:lang w:val="en-GB"/>
        </w:rPr>
      </w:pPr>
      <w:r>
        <w:rPr>
          <w:rFonts w:ascii="Arial" w:hAnsi="Arial" w:cs="Arial"/>
          <w:sz w:val="20"/>
          <w:szCs w:val="20"/>
          <w:lang w:val="en-GB"/>
        </w:rPr>
        <w:t>An analysis of necessity and proportionality in relation to the processing operations shall be included.</w:t>
      </w:r>
    </w:p>
    <w:tbl>
      <w:tblPr>
        <w:tblStyle w:val="Tablaconcuadrcula"/>
        <w:tblW w:w="10206" w:type="dxa"/>
        <w:tblInd w:w="-572" w:type="dxa"/>
        <w:tblLayout w:type="fixed"/>
        <w:tblLook w:val="04A0" w:firstRow="1" w:lastRow="0" w:firstColumn="1" w:lastColumn="0" w:noHBand="0" w:noVBand="1"/>
      </w:tblPr>
      <w:tblGrid>
        <w:gridCol w:w="3514"/>
        <w:gridCol w:w="1561"/>
        <w:gridCol w:w="5131"/>
      </w:tblGrid>
      <w:tr w:rsidR="00DF5486" w:rsidRPr="00C1334D" w14:paraId="52F19D18" w14:textId="77777777">
        <w:tc>
          <w:tcPr>
            <w:tcW w:w="3514" w:type="dxa"/>
            <w:shd w:val="clear" w:color="auto" w:fill="FFDE93"/>
          </w:tcPr>
          <w:p w14:paraId="23F39F38" w14:textId="77777777" w:rsidR="00DF5486" w:rsidRDefault="0005652B">
            <w:pPr>
              <w:pStyle w:val="Normal2"/>
              <w:ind w:firstLine="0"/>
              <w:jc w:val="center"/>
              <w:rPr>
                <w:b/>
                <w:bCs/>
                <w:sz w:val="20"/>
                <w:szCs w:val="20"/>
                <w:lang w:val="en-GB"/>
              </w:rPr>
            </w:pPr>
            <w:r>
              <w:rPr>
                <w:b/>
                <w:bCs/>
                <w:sz w:val="20"/>
                <w:szCs w:val="20"/>
                <w:lang w:val="en-GB"/>
              </w:rPr>
              <w:t>ELEMENTS OF VERIFICATION</w:t>
            </w:r>
          </w:p>
        </w:tc>
        <w:tc>
          <w:tcPr>
            <w:tcW w:w="1561" w:type="dxa"/>
            <w:shd w:val="clear" w:color="auto" w:fill="FFDE93"/>
          </w:tcPr>
          <w:p w14:paraId="542FEADA" w14:textId="77777777" w:rsidR="00DF5486" w:rsidRDefault="0005652B">
            <w:pPr>
              <w:pStyle w:val="Normal2"/>
              <w:ind w:firstLine="0"/>
              <w:jc w:val="center"/>
              <w:rPr>
                <w:b/>
                <w:bCs/>
                <w:sz w:val="18"/>
                <w:szCs w:val="18"/>
                <w:lang w:val="en-GB"/>
              </w:rPr>
            </w:pPr>
            <w:r>
              <w:rPr>
                <w:b/>
                <w:bCs/>
                <w:sz w:val="18"/>
                <w:szCs w:val="18"/>
                <w:lang w:val="en-GB"/>
              </w:rPr>
              <w:t>CHECK</w:t>
            </w:r>
          </w:p>
        </w:tc>
        <w:tc>
          <w:tcPr>
            <w:tcW w:w="5131" w:type="dxa"/>
            <w:shd w:val="clear" w:color="auto" w:fill="FFDE93"/>
          </w:tcPr>
          <w:p w14:paraId="4D51A049" w14:textId="77777777" w:rsidR="00DF5486" w:rsidRDefault="0005652B">
            <w:pPr>
              <w:pStyle w:val="Normal2"/>
              <w:ind w:firstLine="0"/>
              <w:jc w:val="center"/>
              <w:rPr>
                <w:b/>
                <w:bCs/>
                <w:sz w:val="20"/>
                <w:szCs w:val="20"/>
                <w:lang w:val="en-GB"/>
              </w:rPr>
            </w:pPr>
            <w:r>
              <w:rPr>
                <w:b/>
                <w:bCs/>
                <w:sz w:val="20"/>
                <w:szCs w:val="20"/>
                <w:lang w:val="en-GB"/>
              </w:rPr>
              <w:t>COMMENTS</w:t>
            </w:r>
          </w:p>
          <w:p w14:paraId="4F7EEA5C" w14:textId="77777777" w:rsidR="00DF5486" w:rsidRDefault="0005652B">
            <w:pPr>
              <w:pStyle w:val="Normal2"/>
              <w:ind w:firstLine="0"/>
              <w:jc w:val="center"/>
              <w:rPr>
                <w:sz w:val="20"/>
                <w:szCs w:val="20"/>
                <w:lang w:val="en-GB"/>
              </w:rPr>
            </w:pPr>
            <w:r>
              <w:rPr>
                <w:sz w:val="20"/>
                <w:szCs w:val="20"/>
                <w:lang w:val="en-GB"/>
              </w:rPr>
              <w:t>(</w:t>
            </w:r>
            <w:proofErr w:type="gramStart"/>
            <w:r>
              <w:rPr>
                <w:sz w:val="20"/>
                <w:szCs w:val="20"/>
                <w:lang w:val="en-GB"/>
              </w:rPr>
              <w:t>replace</w:t>
            </w:r>
            <w:proofErr w:type="gramEnd"/>
            <w:r>
              <w:rPr>
                <w:sz w:val="20"/>
                <w:szCs w:val="20"/>
                <w:lang w:val="en-GB"/>
              </w:rPr>
              <w:t xml:space="preserve"> these comments with the appropriate ones in each case)</w:t>
            </w:r>
          </w:p>
        </w:tc>
      </w:tr>
      <w:tr w:rsidR="00DF5486" w:rsidRPr="00C1334D" w14:paraId="73ABCAF3" w14:textId="77777777">
        <w:tc>
          <w:tcPr>
            <w:tcW w:w="3514" w:type="dxa"/>
          </w:tcPr>
          <w:p w14:paraId="1A247B1C" w14:textId="77777777" w:rsidR="00DF5486" w:rsidRDefault="0005652B">
            <w:pPr>
              <w:pStyle w:val="Normal2"/>
              <w:ind w:firstLine="0"/>
              <w:rPr>
                <w:sz w:val="20"/>
                <w:szCs w:val="20"/>
                <w:lang w:val="en-GB"/>
              </w:rPr>
            </w:pPr>
            <w:r>
              <w:rPr>
                <w:sz w:val="20"/>
                <w:szCs w:val="20"/>
                <w:lang w:val="en-GB"/>
              </w:rPr>
              <w:t xml:space="preserve">11.1 The adequacy assessment has been carried out </w:t>
            </w:r>
            <w:proofErr w:type="gramStart"/>
            <w:r>
              <w:rPr>
                <w:sz w:val="20"/>
                <w:szCs w:val="20"/>
                <w:lang w:val="en-GB"/>
              </w:rPr>
              <w:t>in order to</w:t>
            </w:r>
            <w:proofErr w:type="gramEnd"/>
            <w:r>
              <w:rPr>
                <w:sz w:val="20"/>
                <w:szCs w:val="20"/>
                <w:lang w:val="en-GB"/>
              </w:rPr>
              <w:t xml:space="preserve"> evaluate whether the processing, as it stands, is effective enough to achieve its intended purpose.</w:t>
            </w:r>
          </w:p>
        </w:tc>
        <w:tc>
          <w:tcPr>
            <w:tcW w:w="1561" w:type="dxa"/>
            <w:vAlign w:val="center"/>
          </w:tcPr>
          <w:p w14:paraId="0493AF67" w14:textId="77777777" w:rsidR="00DF5486" w:rsidRDefault="0005652B">
            <w:pPr>
              <w:pStyle w:val="Normal2"/>
              <w:ind w:firstLine="0"/>
              <w:jc w:val="center"/>
              <w:rPr>
                <w:sz w:val="16"/>
                <w:szCs w:val="18"/>
                <w:lang w:val="en-GB"/>
              </w:rPr>
            </w:pPr>
            <w:r>
              <w:rPr>
                <w:sz w:val="16"/>
                <w:szCs w:val="18"/>
                <w:lang w:val="en-GB"/>
              </w:rPr>
              <w:t>NO</w:t>
            </w:r>
          </w:p>
          <w:p w14:paraId="30BCA7CF" w14:textId="77777777" w:rsidR="00DF5486" w:rsidRDefault="0005652B">
            <w:pPr>
              <w:pStyle w:val="Normal2"/>
              <w:ind w:firstLine="0"/>
              <w:jc w:val="center"/>
              <w:rPr>
                <w:sz w:val="18"/>
                <w:szCs w:val="18"/>
                <w:lang w:val="en-GB"/>
              </w:rPr>
            </w:pPr>
            <w:r>
              <w:rPr>
                <w:sz w:val="16"/>
                <w:szCs w:val="18"/>
                <w:lang w:val="en-GB"/>
              </w:rPr>
              <w:t>YES, AND IT IS DEMONSTRATED</w:t>
            </w:r>
          </w:p>
        </w:tc>
        <w:tc>
          <w:tcPr>
            <w:tcW w:w="5131" w:type="dxa"/>
          </w:tcPr>
          <w:p w14:paraId="507E7C2D" w14:textId="77777777" w:rsidR="00DF5486" w:rsidRDefault="0005652B">
            <w:pPr>
              <w:pStyle w:val="Normal2"/>
              <w:ind w:firstLine="0"/>
              <w:rPr>
                <w:sz w:val="20"/>
                <w:szCs w:val="20"/>
                <w:lang w:val="en-GB"/>
              </w:rPr>
            </w:pPr>
            <w:r>
              <w:rPr>
                <w:sz w:val="20"/>
                <w:szCs w:val="20"/>
                <w:lang w:val="en-GB"/>
              </w:rPr>
              <w:t>Thresholds of treatment effectiveness shall be determined in the DPIA documentation by establishing objective, qualitative, evidence-based thresholds of treatment effectiveness.</w:t>
            </w:r>
          </w:p>
          <w:p w14:paraId="1F6EAB3B" w14:textId="77777777" w:rsidR="00DF5486" w:rsidRDefault="0005652B">
            <w:pPr>
              <w:pStyle w:val="Normal2"/>
              <w:ind w:firstLine="0"/>
              <w:rPr>
                <w:sz w:val="20"/>
                <w:szCs w:val="20"/>
                <w:lang w:val="en-GB"/>
              </w:rPr>
            </w:pPr>
            <w:r>
              <w:rPr>
                <w:sz w:val="20"/>
                <w:szCs w:val="20"/>
                <w:lang w:val="en-GB"/>
              </w:rPr>
              <w:t>These effectiveness thresholds shall be reviewed in an equally objective manner throughout the life cycle of the treatment. The treatment, throughout its life cycle, shall be suitable to the extent that it meets the established thresholds.</w:t>
            </w:r>
          </w:p>
        </w:tc>
      </w:tr>
      <w:tr w:rsidR="00DF5486" w:rsidRPr="00C1334D" w14:paraId="7110CB7B" w14:textId="77777777">
        <w:tc>
          <w:tcPr>
            <w:tcW w:w="3514" w:type="dxa"/>
          </w:tcPr>
          <w:p w14:paraId="2095C849" w14:textId="77777777" w:rsidR="00DF5486" w:rsidRDefault="0005652B">
            <w:pPr>
              <w:pStyle w:val="Normal2"/>
              <w:ind w:firstLine="0"/>
              <w:rPr>
                <w:sz w:val="20"/>
                <w:szCs w:val="20"/>
                <w:lang w:val="en-GB"/>
              </w:rPr>
            </w:pPr>
            <w:r>
              <w:rPr>
                <w:sz w:val="20"/>
                <w:szCs w:val="20"/>
                <w:lang w:val="en-GB"/>
              </w:rPr>
              <w:t xml:space="preserve">11.2 The necessity, proportionality and adequacy analysis </w:t>
            </w:r>
            <w:proofErr w:type="gramStart"/>
            <w:r>
              <w:rPr>
                <w:sz w:val="20"/>
                <w:szCs w:val="20"/>
                <w:lang w:val="en-GB"/>
              </w:rPr>
              <w:t>is</w:t>
            </w:r>
            <w:proofErr w:type="gramEnd"/>
            <w:r>
              <w:rPr>
                <w:sz w:val="20"/>
                <w:szCs w:val="20"/>
                <w:lang w:val="en-GB"/>
              </w:rPr>
              <w:t xml:space="preserve"> carried out in relation to the personal data used and the processing operations.</w:t>
            </w:r>
          </w:p>
        </w:tc>
        <w:tc>
          <w:tcPr>
            <w:tcW w:w="1561" w:type="dxa"/>
            <w:vAlign w:val="center"/>
          </w:tcPr>
          <w:p w14:paraId="2D3163AD" w14:textId="77777777" w:rsidR="00DF5486" w:rsidRDefault="0005652B">
            <w:pPr>
              <w:pStyle w:val="Normal2"/>
              <w:ind w:firstLine="0"/>
              <w:jc w:val="center"/>
              <w:rPr>
                <w:sz w:val="16"/>
                <w:szCs w:val="18"/>
                <w:lang w:val="en-GB"/>
              </w:rPr>
            </w:pPr>
            <w:r>
              <w:rPr>
                <w:sz w:val="16"/>
                <w:szCs w:val="18"/>
                <w:lang w:val="en-GB"/>
              </w:rPr>
              <w:t>NO</w:t>
            </w:r>
          </w:p>
          <w:p w14:paraId="5AC99E71" w14:textId="77777777" w:rsidR="00DF5486" w:rsidRDefault="0005652B">
            <w:pPr>
              <w:pStyle w:val="Normal2"/>
              <w:ind w:firstLine="0"/>
              <w:jc w:val="center"/>
              <w:rPr>
                <w:sz w:val="18"/>
                <w:szCs w:val="18"/>
                <w:lang w:val="en-GB"/>
              </w:rPr>
            </w:pPr>
            <w:r>
              <w:rPr>
                <w:sz w:val="16"/>
                <w:szCs w:val="18"/>
                <w:lang w:val="en-GB"/>
              </w:rPr>
              <w:t>YES, AND IT IS DEMONSTRATED</w:t>
            </w:r>
          </w:p>
        </w:tc>
        <w:tc>
          <w:tcPr>
            <w:tcW w:w="5131" w:type="dxa"/>
          </w:tcPr>
          <w:p w14:paraId="03D0308B" w14:textId="77777777" w:rsidR="00DF5486" w:rsidRDefault="0005652B">
            <w:pPr>
              <w:pStyle w:val="Normal2"/>
              <w:ind w:firstLine="0"/>
              <w:rPr>
                <w:sz w:val="20"/>
                <w:szCs w:val="20"/>
                <w:lang w:val="en-GB"/>
              </w:rPr>
            </w:pPr>
            <w:r>
              <w:rPr>
                <w:sz w:val="20"/>
                <w:szCs w:val="20"/>
                <w:lang w:val="en-GB"/>
              </w:rPr>
              <w:t xml:space="preserve">The necessity, proportionality and adequacy analysis described in the DPIA documentation has been </w:t>
            </w:r>
            <w:proofErr w:type="gramStart"/>
            <w:r>
              <w:rPr>
                <w:sz w:val="20"/>
                <w:szCs w:val="20"/>
                <w:lang w:val="en-GB"/>
              </w:rPr>
              <w:t>taken into account</w:t>
            </w:r>
            <w:proofErr w:type="gramEnd"/>
            <w:r>
              <w:rPr>
                <w:sz w:val="20"/>
                <w:szCs w:val="20"/>
                <w:lang w:val="en-GB"/>
              </w:rPr>
              <w:t xml:space="preserve"> for each of the processing operations and in relation to the personal data used in each of the identified processing operations.</w:t>
            </w:r>
          </w:p>
          <w:p w14:paraId="64E2EFA7" w14:textId="77777777" w:rsidR="00DF5486" w:rsidRDefault="0005652B">
            <w:pPr>
              <w:pStyle w:val="Normal2"/>
              <w:ind w:firstLine="0"/>
              <w:rPr>
                <w:sz w:val="20"/>
                <w:szCs w:val="20"/>
                <w:lang w:val="en-GB"/>
              </w:rPr>
            </w:pPr>
            <w:r>
              <w:rPr>
                <w:sz w:val="20"/>
                <w:szCs w:val="20"/>
                <w:lang w:val="en-GB"/>
              </w:rPr>
              <w:t xml:space="preserve">Chapter XIII of the </w:t>
            </w:r>
            <w:r w:rsidR="0017413E">
              <w:fldChar w:fldCharType="begin"/>
            </w:r>
            <w:r w:rsidR="0017413E" w:rsidRPr="00C1334D">
              <w:rPr>
                <w:lang w:val="en-US"/>
              </w:rPr>
              <w:instrText xml:space="preserve"> HYPERLINK "https://www.aepd.es/es/documento/risk-management-and-impact-assessment-in-processing-personal-data.pdf" \h </w:instrText>
            </w:r>
            <w:r w:rsidR="0017413E">
              <w:fldChar w:fldCharType="separate"/>
            </w:r>
            <w:r>
              <w:rPr>
                <w:rStyle w:val="EnlacedeInternet"/>
                <w:sz w:val="20"/>
                <w:szCs w:val="20"/>
                <w:lang w:val="en-GB"/>
              </w:rPr>
              <w:t>Guide</w:t>
            </w:r>
            <w:r w:rsidR="0017413E">
              <w:rPr>
                <w:rStyle w:val="EnlacedeInternet"/>
                <w:sz w:val="20"/>
                <w:szCs w:val="20"/>
                <w:lang w:val="en-GB"/>
              </w:rPr>
              <w:fldChar w:fldCharType="end"/>
            </w:r>
            <w:r>
              <w:rPr>
                <w:sz w:val="20"/>
                <w:szCs w:val="20"/>
                <w:lang w:val="en-GB"/>
              </w:rPr>
              <w:t xml:space="preserve"> has been taken into account for this analysis.</w:t>
            </w:r>
          </w:p>
        </w:tc>
      </w:tr>
      <w:tr w:rsidR="00DF5486" w:rsidRPr="00C1334D" w14:paraId="586DDED2" w14:textId="77777777">
        <w:tc>
          <w:tcPr>
            <w:tcW w:w="3514" w:type="dxa"/>
          </w:tcPr>
          <w:p w14:paraId="2C5B2A84" w14:textId="77777777" w:rsidR="00DF5486" w:rsidRDefault="0005652B">
            <w:pPr>
              <w:pStyle w:val="Normal2"/>
              <w:ind w:firstLine="0"/>
              <w:rPr>
                <w:sz w:val="20"/>
                <w:szCs w:val="20"/>
                <w:lang w:val="en-GB"/>
              </w:rPr>
            </w:pPr>
            <w:r>
              <w:rPr>
                <w:sz w:val="20"/>
                <w:szCs w:val="20"/>
                <w:lang w:val="en-GB"/>
              </w:rPr>
              <w:t xml:space="preserve">11.3 There is an objective evaluation that demonstrates that the processing passes the adequacy assessment according to the criteria in section XIII.B of the </w:t>
            </w:r>
            <w:r w:rsidR="0017413E">
              <w:fldChar w:fldCharType="begin"/>
            </w:r>
            <w:r w:rsidR="0017413E" w:rsidRPr="00C1334D">
              <w:rPr>
                <w:lang w:val="en-US"/>
              </w:rPr>
              <w:instrText xml:space="preserve"> HYPERLINK "https://www.aepd.es/es/documento/ri</w:instrText>
            </w:r>
            <w:r w:rsidR="0017413E" w:rsidRPr="00C1334D">
              <w:rPr>
                <w:lang w:val="en-US"/>
              </w:rPr>
              <w:instrText xml:space="preserve">sk-management-and-impact-assessment-in-processing-personal-data.pdf" \h </w:instrText>
            </w:r>
            <w:r w:rsidR="0017413E">
              <w:fldChar w:fldCharType="separate"/>
            </w:r>
            <w:r>
              <w:rPr>
                <w:rStyle w:val="EnlacedeInternet"/>
                <w:sz w:val="20"/>
                <w:szCs w:val="20"/>
                <w:lang w:val="en-GB"/>
              </w:rPr>
              <w:t>Guide</w:t>
            </w:r>
            <w:r w:rsidR="0017413E">
              <w:rPr>
                <w:rStyle w:val="EnlacedeInternet"/>
                <w:sz w:val="20"/>
                <w:szCs w:val="20"/>
                <w:lang w:val="en-GB"/>
              </w:rPr>
              <w:fldChar w:fldCharType="end"/>
            </w:r>
            <w:r>
              <w:rPr>
                <w:sz w:val="20"/>
                <w:szCs w:val="20"/>
                <w:lang w:val="en-GB"/>
              </w:rPr>
              <w:t>.</w:t>
            </w:r>
          </w:p>
        </w:tc>
        <w:tc>
          <w:tcPr>
            <w:tcW w:w="1561" w:type="dxa"/>
            <w:vAlign w:val="center"/>
          </w:tcPr>
          <w:p w14:paraId="407AD51B" w14:textId="77777777" w:rsidR="00DF5486" w:rsidRDefault="0005652B">
            <w:pPr>
              <w:pStyle w:val="Normal2"/>
              <w:ind w:firstLine="0"/>
              <w:jc w:val="center"/>
              <w:rPr>
                <w:sz w:val="16"/>
                <w:szCs w:val="18"/>
                <w:lang w:val="en-GB"/>
              </w:rPr>
            </w:pPr>
            <w:r>
              <w:rPr>
                <w:sz w:val="16"/>
                <w:szCs w:val="18"/>
                <w:lang w:val="en-GB"/>
              </w:rPr>
              <w:t>NO</w:t>
            </w:r>
          </w:p>
          <w:p w14:paraId="434E4DC4" w14:textId="77777777" w:rsidR="00DF5486" w:rsidRDefault="0005652B">
            <w:pPr>
              <w:pStyle w:val="Normal2"/>
              <w:ind w:firstLine="0"/>
              <w:jc w:val="center"/>
              <w:rPr>
                <w:sz w:val="18"/>
                <w:szCs w:val="18"/>
                <w:lang w:val="en-GB"/>
              </w:rPr>
            </w:pPr>
            <w:r>
              <w:rPr>
                <w:sz w:val="16"/>
                <w:szCs w:val="18"/>
                <w:lang w:val="en-GB"/>
              </w:rPr>
              <w:t>YES, AND IT IS DEMONSTRATED</w:t>
            </w:r>
          </w:p>
        </w:tc>
        <w:tc>
          <w:tcPr>
            <w:tcW w:w="5131" w:type="dxa"/>
          </w:tcPr>
          <w:p w14:paraId="2E0A33B1" w14:textId="77777777" w:rsidR="00DF5486" w:rsidRDefault="0005652B">
            <w:pPr>
              <w:pStyle w:val="Normal2"/>
              <w:ind w:firstLine="0"/>
              <w:rPr>
                <w:sz w:val="20"/>
                <w:szCs w:val="20"/>
                <w:lang w:val="en-GB"/>
              </w:rPr>
            </w:pPr>
            <w:r>
              <w:rPr>
                <w:sz w:val="20"/>
                <w:szCs w:val="20"/>
                <w:lang w:val="en-GB"/>
              </w:rPr>
              <w:t xml:space="preserve">The DPIA documentation should detail the evaluation process, and not only its conclusion, which has determined that the processing is fit for purpose. It should detail whether the processing addresses specific objective gaps, demands, requirements, </w:t>
            </w:r>
            <w:proofErr w:type="gramStart"/>
            <w:r>
              <w:rPr>
                <w:sz w:val="20"/>
                <w:szCs w:val="20"/>
                <w:lang w:val="en-GB"/>
              </w:rPr>
              <w:t>obligations</w:t>
            </w:r>
            <w:proofErr w:type="gramEnd"/>
            <w:r>
              <w:rPr>
                <w:sz w:val="20"/>
                <w:szCs w:val="20"/>
                <w:lang w:val="en-GB"/>
              </w:rPr>
              <w:t xml:space="preserve"> or opportunities and can achieve the proposed objectives with sufficient effectiveness.</w:t>
            </w:r>
          </w:p>
        </w:tc>
      </w:tr>
      <w:tr w:rsidR="00DF5486" w:rsidRPr="00C1334D" w14:paraId="4AFA5EB8" w14:textId="77777777">
        <w:tc>
          <w:tcPr>
            <w:tcW w:w="3514" w:type="dxa"/>
          </w:tcPr>
          <w:p w14:paraId="0A0A101C" w14:textId="77777777" w:rsidR="00DF5486" w:rsidRDefault="0005652B">
            <w:pPr>
              <w:pStyle w:val="Normal2"/>
              <w:ind w:firstLine="0"/>
              <w:rPr>
                <w:sz w:val="20"/>
                <w:szCs w:val="20"/>
                <w:lang w:val="en-GB"/>
              </w:rPr>
            </w:pPr>
            <w:r>
              <w:rPr>
                <w:sz w:val="20"/>
                <w:szCs w:val="20"/>
                <w:lang w:val="en-GB"/>
              </w:rPr>
              <w:t xml:space="preserve">11.4 There is an objective assessment that demonstrates that the processing passes the necessity assessment according to the criteria in section XIII.C of the </w:t>
            </w:r>
            <w:hyperlink r:id="rId19">
              <w:r>
                <w:rPr>
                  <w:rStyle w:val="EnlacedeInternet"/>
                  <w:sz w:val="20"/>
                  <w:szCs w:val="20"/>
                  <w:lang w:val="en-GB"/>
                </w:rPr>
                <w:t>Guide</w:t>
              </w:r>
            </w:hyperlink>
            <w:r>
              <w:rPr>
                <w:sz w:val="20"/>
                <w:szCs w:val="20"/>
                <w:lang w:val="en-GB"/>
              </w:rPr>
              <w:t>.</w:t>
            </w:r>
          </w:p>
        </w:tc>
        <w:tc>
          <w:tcPr>
            <w:tcW w:w="1561" w:type="dxa"/>
            <w:vAlign w:val="center"/>
          </w:tcPr>
          <w:p w14:paraId="3F18B247" w14:textId="77777777" w:rsidR="00DF5486" w:rsidRDefault="0005652B">
            <w:pPr>
              <w:pStyle w:val="Normal2"/>
              <w:ind w:firstLine="0"/>
              <w:jc w:val="center"/>
              <w:rPr>
                <w:sz w:val="16"/>
                <w:szCs w:val="18"/>
                <w:lang w:val="en-GB"/>
              </w:rPr>
            </w:pPr>
            <w:r>
              <w:rPr>
                <w:sz w:val="16"/>
                <w:szCs w:val="18"/>
                <w:lang w:val="en-GB"/>
              </w:rPr>
              <w:t>NO</w:t>
            </w:r>
          </w:p>
          <w:p w14:paraId="317C18CC" w14:textId="77777777" w:rsidR="00DF5486" w:rsidRDefault="0005652B">
            <w:pPr>
              <w:pStyle w:val="Normal2"/>
              <w:ind w:firstLine="0"/>
              <w:jc w:val="center"/>
              <w:rPr>
                <w:sz w:val="18"/>
                <w:szCs w:val="18"/>
                <w:lang w:val="en-GB"/>
              </w:rPr>
            </w:pPr>
            <w:r>
              <w:rPr>
                <w:sz w:val="16"/>
                <w:szCs w:val="18"/>
                <w:lang w:val="en-GB"/>
              </w:rPr>
              <w:t>YES, AND IT IS DEMONSTRATED</w:t>
            </w:r>
          </w:p>
        </w:tc>
        <w:tc>
          <w:tcPr>
            <w:tcW w:w="5131" w:type="dxa"/>
          </w:tcPr>
          <w:p w14:paraId="00D01D22" w14:textId="77777777" w:rsidR="00DF5486" w:rsidRDefault="0005652B">
            <w:pPr>
              <w:pStyle w:val="Normal2"/>
              <w:ind w:firstLine="0"/>
              <w:rPr>
                <w:sz w:val="20"/>
                <w:szCs w:val="20"/>
                <w:lang w:val="en-GB"/>
              </w:rPr>
            </w:pPr>
            <w:r>
              <w:rPr>
                <w:sz w:val="20"/>
                <w:szCs w:val="20"/>
                <w:lang w:val="en-GB"/>
              </w:rPr>
              <w:t xml:space="preserve">The DPIA documentation should detail the evaluation process, and not only its conclusion, which has determined that the intended purpose cannot be achieved in a less harmful or invasive way, </w:t>
            </w:r>
            <w:proofErr w:type="gramStart"/>
            <w:r>
              <w:rPr>
                <w:sz w:val="20"/>
                <w:szCs w:val="20"/>
                <w:lang w:val="en-GB"/>
              </w:rPr>
              <w:t>i.e.</w:t>
            </w:r>
            <w:proofErr w:type="gramEnd"/>
            <w:r>
              <w:rPr>
                <w:sz w:val="20"/>
                <w:szCs w:val="20"/>
                <w:lang w:val="en-GB"/>
              </w:rPr>
              <w:t xml:space="preserve"> there is no alternative processing that is equally effective in achieving the intended purpose.</w:t>
            </w:r>
          </w:p>
        </w:tc>
      </w:tr>
      <w:tr w:rsidR="00DF5486" w:rsidRPr="00C1334D" w14:paraId="6A491450" w14:textId="77777777">
        <w:tc>
          <w:tcPr>
            <w:tcW w:w="3514" w:type="dxa"/>
          </w:tcPr>
          <w:p w14:paraId="0210899F" w14:textId="77777777" w:rsidR="00DF5486" w:rsidRDefault="0005652B">
            <w:pPr>
              <w:pStyle w:val="Normal2"/>
              <w:ind w:firstLine="0"/>
              <w:rPr>
                <w:sz w:val="20"/>
                <w:szCs w:val="20"/>
                <w:lang w:val="en-GB"/>
              </w:rPr>
            </w:pPr>
            <w:r>
              <w:rPr>
                <w:sz w:val="20"/>
                <w:szCs w:val="20"/>
                <w:lang w:val="en-GB"/>
              </w:rPr>
              <w:t xml:space="preserve">11.5 There is an objective evaluation that demonstrates that the processing passes the proportionality assessment in the strict sense according to the criteria in section XIII.D of the </w:t>
            </w:r>
            <w:hyperlink r:id="rId20">
              <w:r>
                <w:rPr>
                  <w:rStyle w:val="EnlacedeInternet"/>
                  <w:sz w:val="20"/>
                  <w:szCs w:val="20"/>
                  <w:lang w:val="en-GB"/>
                </w:rPr>
                <w:t>Guide</w:t>
              </w:r>
            </w:hyperlink>
            <w:r>
              <w:rPr>
                <w:sz w:val="20"/>
                <w:szCs w:val="20"/>
                <w:lang w:val="en-GB"/>
              </w:rPr>
              <w:t>.</w:t>
            </w:r>
          </w:p>
        </w:tc>
        <w:tc>
          <w:tcPr>
            <w:tcW w:w="1561" w:type="dxa"/>
            <w:vAlign w:val="center"/>
          </w:tcPr>
          <w:p w14:paraId="4F7C505C" w14:textId="77777777" w:rsidR="00DF5486" w:rsidRDefault="0005652B">
            <w:pPr>
              <w:pStyle w:val="Normal2"/>
              <w:ind w:firstLine="0"/>
              <w:jc w:val="center"/>
              <w:rPr>
                <w:sz w:val="16"/>
                <w:szCs w:val="18"/>
                <w:lang w:val="en-GB"/>
              </w:rPr>
            </w:pPr>
            <w:r>
              <w:rPr>
                <w:sz w:val="16"/>
                <w:szCs w:val="18"/>
                <w:lang w:val="en-GB"/>
              </w:rPr>
              <w:t>NO</w:t>
            </w:r>
          </w:p>
          <w:p w14:paraId="6F23AAB8" w14:textId="77777777" w:rsidR="00DF5486" w:rsidRDefault="0005652B">
            <w:pPr>
              <w:pStyle w:val="Normal2"/>
              <w:ind w:firstLine="0"/>
              <w:jc w:val="center"/>
              <w:rPr>
                <w:sz w:val="18"/>
                <w:szCs w:val="18"/>
                <w:lang w:val="en-GB"/>
              </w:rPr>
            </w:pPr>
            <w:r>
              <w:rPr>
                <w:sz w:val="16"/>
                <w:szCs w:val="18"/>
                <w:lang w:val="en-GB"/>
              </w:rPr>
              <w:t>YES, AND IT IS DEMONSTRATED</w:t>
            </w:r>
          </w:p>
        </w:tc>
        <w:tc>
          <w:tcPr>
            <w:tcW w:w="5131" w:type="dxa"/>
          </w:tcPr>
          <w:p w14:paraId="465948C2" w14:textId="77777777" w:rsidR="00DF5486" w:rsidRDefault="0005652B">
            <w:pPr>
              <w:pStyle w:val="Normal2"/>
              <w:ind w:firstLine="0"/>
              <w:rPr>
                <w:sz w:val="20"/>
                <w:szCs w:val="20"/>
                <w:lang w:val="en-GB"/>
              </w:rPr>
            </w:pPr>
            <w:r>
              <w:rPr>
                <w:sz w:val="20"/>
                <w:szCs w:val="20"/>
                <w:lang w:val="en-GB"/>
              </w:rPr>
              <w:t>The DPIA documentation should detail the evaluation process, and not only its conclusion, which has determined that the seriousness of the risk to the rights and freedoms of the processing, and its intrusion on privacy, is appropriate to the intended purpose and proportionate to its urgency and severity. It should detail the balancing of the benefit that the processing, from a data protection point of view, provides to society while maintaining a balance with the impact on other fundamental rights (Recital 4 GDPR).</w:t>
            </w:r>
          </w:p>
        </w:tc>
      </w:tr>
    </w:tbl>
    <w:p w14:paraId="109D391A" w14:textId="77777777" w:rsidR="00DF5486" w:rsidRDefault="0005652B">
      <w:pPr>
        <w:spacing w:after="0" w:line="240" w:lineRule="auto"/>
        <w:rPr>
          <w:rFonts w:ascii="Source Sans Pro" w:eastAsiaTheme="majorEastAsia" w:hAnsi="Source Sans Pro"/>
          <w:b/>
          <w:bCs/>
          <w:iCs/>
          <w:smallCaps/>
          <w:sz w:val="24"/>
          <w:szCs w:val="28"/>
          <w:lang w:val="en-GB"/>
        </w:rPr>
      </w:pPr>
      <w:r w:rsidRPr="00CD0BE3">
        <w:rPr>
          <w:lang w:val="en-US"/>
        </w:rPr>
        <w:br w:type="page"/>
      </w:r>
    </w:p>
    <w:p w14:paraId="7AA44D78" w14:textId="77777777" w:rsidR="00DF5486" w:rsidRDefault="0005652B">
      <w:pPr>
        <w:pStyle w:val="Ttulo2"/>
        <w:rPr>
          <w:lang w:val="en-GB"/>
        </w:rPr>
      </w:pPr>
      <w:r>
        <w:rPr>
          <w:lang w:val="en-GB"/>
        </w:rPr>
        <w:lastRenderedPageBreak/>
        <w:t>Criteria for reassessing the DPIA and, where appropriate, for the expiry of processing. (Quinto.</w:t>
      </w:r>
      <w:proofErr w:type="gramStart"/>
      <w:r>
        <w:rPr>
          <w:lang w:val="en-GB"/>
        </w:rPr>
        <w:t>5.l</w:t>
      </w:r>
      <w:proofErr w:type="gramEnd"/>
      <w:r>
        <w:rPr>
          <w:lang w:val="en-GB"/>
        </w:rPr>
        <w:t xml:space="preserve"> of Instruction 1/2021)</w:t>
      </w:r>
    </w:p>
    <w:tbl>
      <w:tblPr>
        <w:tblStyle w:val="Tablaconcuadrcula"/>
        <w:tblW w:w="10206" w:type="dxa"/>
        <w:tblInd w:w="-572" w:type="dxa"/>
        <w:tblLayout w:type="fixed"/>
        <w:tblLook w:val="04A0" w:firstRow="1" w:lastRow="0" w:firstColumn="1" w:lastColumn="0" w:noHBand="0" w:noVBand="1"/>
      </w:tblPr>
      <w:tblGrid>
        <w:gridCol w:w="3686"/>
        <w:gridCol w:w="1672"/>
        <w:gridCol w:w="4848"/>
      </w:tblGrid>
      <w:tr w:rsidR="00DF5486" w:rsidRPr="00C1334D" w14:paraId="40B3D70D" w14:textId="77777777">
        <w:tc>
          <w:tcPr>
            <w:tcW w:w="3686" w:type="dxa"/>
            <w:shd w:val="clear" w:color="auto" w:fill="FFDE93"/>
          </w:tcPr>
          <w:p w14:paraId="0C3CE930" w14:textId="77777777" w:rsidR="00DF5486" w:rsidRDefault="0005652B">
            <w:pPr>
              <w:pStyle w:val="Normal2"/>
              <w:ind w:firstLine="0"/>
              <w:jc w:val="center"/>
              <w:rPr>
                <w:b/>
                <w:bCs/>
                <w:sz w:val="20"/>
                <w:szCs w:val="20"/>
                <w:lang w:val="en-GB"/>
              </w:rPr>
            </w:pPr>
            <w:r>
              <w:rPr>
                <w:b/>
                <w:bCs/>
                <w:sz w:val="20"/>
                <w:szCs w:val="20"/>
                <w:lang w:val="en-GB"/>
              </w:rPr>
              <w:t>ELEMENTS OF VERIFICATION</w:t>
            </w:r>
          </w:p>
        </w:tc>
        <w:tc>
          <w:tcPr>
            <w:tcW w:w="1672" w:type="dxa"/>
            <w:shd w:val="clear" w:color="auto" w:fill="FFDE93"/>
          </w:tcPr>
          <w:p w14:paraId="17CA7BD4" w14:textId="77777777" w:rsidR="00DF5486" w:rsidRDefault="0005652B">
            <w:pPr>
              <w:pStyle w:val="Normal2"/>
              <w:ind w:firstLine="0"/>
              <w:jc w:val="center"/>
              <w:rPr>
                <w:b/>
                <w:bCs/>
                <w:sz w:val="18"/>
                <w:szCs w:val="18"/>
                <w:lang w:val="en-GB"/>
              </w:rPr>
            </w:pPr>
            <w:r>
              <w:rPr>
                <w:b/>
                <w:bCs/>
                <w:sz w:val="18"/>
                <w:szCs w:val="18"/>
                <w:lang w:val="en-GB"/>
              </w:rPr>
              <w:t>CHECK</w:t>
            </w:r>
          </w:p>
        </w:tc>
        <w:tc>
          <w:tcPr>
            <w:tcW w:w="4848" w:type="dxa"/>
            <w:shd w:val="clear" w:color="auto" w:fill="FFDE93"/>
          </w:tcPr>
          <w:p w14:paraId="4DFD3FFE" w14:textId="77777777" w:rsidR="00DF5486" w:rsidRDefault="0005652B">
            <w:pPr>
              <w:pStyle w:val="Normal2"/>
              <w:ind w:firstLine="0"/>
              <w:jc w:val="center"/>
              <w:rPr>
                <w:b/>
                <w:bCs/>
                <w:sz w:val="20"/>
                <w:szCs w:val="20"/>
                <w:lang w:val="en-GB"/>
              </w:rPr>
            </w:pPr>
            <w:r>
              <w:rPr>
                <w:b/>
                <w:bCs/>
                <w:sz w:val="20"/>
                <w:szCs w:val="20"/>
                <w:lang w:val="en-GB"/>
              </w:rPr>
              <w:t>COMMENTS</w:t>
            </w:r>
          </w:p>
          <w:p w14:paraId="078CD429" w14:textId="77777777" w:rsidR="00DF5486" w:rsidRDefault="0005652B">
            <w:pPr>
              <w:pStyle w:val="Normal2"/>
              <w:ind w:firstLine="0"/>
              <w:jc w:val="center"/>
              <w:rPr>
                <w:sz w:val="20"/>
                <w:szCs w:val="20"/>
                <w:lang w:val="en-GB"/>
              </w:rPr>
            </w:pPr>
            <w:r>
              <w:rPr>
                <w:sz w:val="20"/>
                <w:szCs w:val="20"/>
                <w:lang w:val="en-GB"/>
              </w:rPr>
              <w:t>(</w:t>
            </w:r>
            <w:proofErr w:type="gramStart"/>
            <w:r>
              <w:rPr>
                <w:sz w:val="20"/>
                <w:szCs w:val="20"/>
                <w:lang w:val="en-GB"/>
              </w:rPr>
              <w:t>replace</w:t>
            </w:r>
            <w:proofErr w:type="gramEnd"/>
            <w:r>
              <w:rPr>
                <w:sz w:val="20"/>
                <w:szCs w:val="20"/>
                <w:lang w:val="en-GB"/>
              </w:rPr>
              <w:t xml:space="preserve"> these comments with the appropriate ones in each case)</w:t>
            </w:r>
          </w:p>
        </w:tc>
      </w:tr>
      <w:tr w:rsidR="00DF5486" w:rsidRPr="00C1334D" w14:paraId="2CEA2E99" w14:textId="77777777">
        <w:tc>
          <w:tcPr>
            <w:tcW w:w="3686" w:type="dxa"/>
            <w:shd w:val="clear" w:color="auto" w:fill="auto"/>
          </w:tcPr>
          <w:p w14:paraId="4E4DE35D" w14:textId="77777777" w:rsidR="00DF5486" w:rsidRDefault="0005652B">
            <w:pPr>
              <w:pStyle w:val="Normal2"/>
              <w:ind w:firstLine="0"/>
              <w:rPr>
                <w:sz w:val="20"/>
                <w:szCs w:val="20"/>
                <w:lang w:val="en-GB"/>
              </w:rPr>
            </w:pPr>
            <w:r>
              <w:rPr>
                <w:sz w:val="20"/>
                <w:szCs w:val="20"/>
                <w:lang w:val="en-GB"/>
              </w:rPr>
              <w:t>12.1 The action plan for the management of risks to rights and freedoms reflects the actions for the review and updating of the measures determined in the DPIA. (Art. 24 GDPR)</w:t>
            </w:r>
          </w:p>
        </w:tc>
        <w:tc>
          <w:tcPr>
            <w:tcW w:w="1672" w:type="dxa"/>
            <w:vAlign w:val="center"/>
          </w:tcPr>
          <w:p w14:paraId="1D18583B" w14:textId="77777777" w:rsidR="00DF5486" w:rsidRDefault="0005652B">
            <w:pPr>
              <w:pStyle w:val="Normal2"/>
              <w:ind w:firstLine="0"/>
              <w:jc w:val="center"/>
              <w:rPr>
                <w:sz w:val="16"/>
                <w:szCs w:val="18"/>
                <w:lang w:val="en-GB"/>
              </w:rPr>
            </w:pPr>
            <w:r>
              <w:rPr>
                <w:sz w:val="16"/>
                <w:szCs w:val="18"/>
                <w:lang w:val="en-GB"/>
              </w:rPr>
              <w:t>NO</w:t>
            </w:r>
          </w:p>
          <w:p w14:paraId="49FD830F" w14:textId="77777777" w:rsidR="00DF5486" w:rsidRDefault="0005652B">
            <w:pPr>
              <w:pStyle w:val="Normal2"/>
              <w:ind w:firstLine="0"/>
              <w:jc w:val="center"/>
              <w:rPr>
                <w:sz w:val="18"/>
                <w:szCs w:val="18"/>
                <w:lang w:val="en-GB"/>
              </w:rPr>
            </w:pPr>
            <w:r>
              <w:rPr>
                <w:sz w:val="16"/>
                <w:szCs w:val="18"/>
                <w:lang w:val="en-GB"/>
              </w:rPr>
              <w:t>YES, AND IT IS DEMONSTRATED</w:t>
            </w:r>
          </w:p>
        </w:tc>
        <w:tc>
          <w:tcPr>
            <w:tcW w:w="4848" w:type="dxa"/>
          </w:tcPr>
          <w:p w14:paraId="1D99B60F" w14:textId="77777777" w:rsidR="00DF5486" w:rsidRDefault="0005652B">
            <w:pPr>
              <w:pStyle w:val="Normal2"/>
              <w:ind w:firstLine="0"/>
              <w:rPr>
                <w:sz w:val="20"/>
                <w:szCs w:val="20"/>
                <w:lang w:val="en-GB"/>
              </w:rPr>
            </w:pPr>
            <w:proofErr w:type="gramStart"/>
            <w:r>
              <w:rPr>
                <w:sz w:val="20"/>
                <w:szCs w:val="20"/>
                <w:lang w:val="en-GB"/>
              </w:rPr>
              <w:t>Taking into account</w:t>
            </w:r>
            <w:proofErr w:type="gramEnd"/>
            <w:r>
              <w:rPr>
                <w:sz w:val="20"/>
                <w:szCs w:val="20"/>
                <w:lang w:val="en-GB"/>
              </w:rPr>
              <w:t xml:space="preserve"> the nature, scope, context and purposes of the processing, as well as the risks of varying likelihood and severity to the rights and freedoms of natural persons, the controller shall implement technical and organisational measures and such measures shall be reviewed and updated as necessary.</w:t>
            </w:r>
          </w:p>
        </w:tc>
      </w:tr>
      <w:tr w:rsidR="00DF5486" w:rsidRPr="00C1334D" w14:paraId="02C12B5F" w14:textId="77777777">
        <w:tc>
          <w:tcPr>
            <w:tcW w:w="3686" w:type="dxa"/>
            <w:shd w:val="clear" w:color="auto" w:fill="auto"/>
          </w:tcPr>
          <w:p w14:paraId="2F0A728F" w14:textId="77777777" w:rsidR="00DF5486" w:rsidRDefault="0005652B">
            <w:pPr>
              <w:pStyle w:val="Normal2"/>
              <w:ind w:firstLine="0"/>
              <w:rPr>
                <w:sz w:val="20"/>
                <w:szCs w:val="20"/>
                <w:lang w:val="en-GB"/>
              </w:rPr>
            </w:pPr>
            <w:r>
              <w:rPr>
                <w:sz w:val="20"/>
                <w:szCs w:val="20"/>
                <w:lang w:val="en-GB"/>
              </w:rPr>
              <w:t>12.2 The action plan, data protection policies and/or risk management for rights and freedoms reflect the regular reassessment of the necessity of the processing and the restriction of the data used (Art. 24 and 5.e, Recital 78 GDPR).</w:t>
            </w:r>
          </w:p>
        </w:tc>
        <w:tc>
          <w:tcPr>
            <w:tcW w:w="1672" w:type="dxa"/>
            <w:vAlign w:val="center"/>
          </w:tcPr>
          <w:p w14:paraId="3ED99CA9" w14:textId="77777777" w:rsidR="00DF5486" w:rsidRDefault="0005652B">
            <w:pPr>
              <w:pStyle w:val="Normal2"/>
              <w:ind w:firstLine="0"/>
              <w:jc w:val="center"/>
              <w:rPr>
                <w:sz w:val="16"/>
                <w:szCs w:val="18"/>
                <w:lang w:val="en-GB"/>
              </w:rPr>
            </w:pPr>
            <w:r>
              <w:rPr>
                <w:sz w:val="16"/>
                <w:szCs w:val="18"/>
                <w:lang w:val="en-GB"/>
              </w:rPr>
              <w:t>NO</w:t>
            </w:r>
          </w:p>
          <w:p w14:paraId="3D5BC886" w14:textId="77777777" w:rsidR="00DF5486" w:rsidRDefault="0005652B">
            <w:pPr>
              <w:pStyle w:val="Normal2"/>
              <w:ind w:firstLine="0"/>
              <w:jc w:val="center"/>
              <w:rPr>
                <w:sz w:val="18"/>
                <w:szCs w:val="18"/>
                <w:lang w:val="en-GB"/>
              </w:rPr>
            </w:pPr>
            <w:r>
              <w:rPr>
                <w:sz w:val="16"/>
                <w:szCs w:val="18"/>
                <w:lang w:val="en-GB"/>
              </w:rPr>
              <w:t>YES, AND IT IS DEMONSTRATED</w:t>
            </w:r>
          </w:p>
        </w:tc>
        <w:tc>
          <w:tcPr>
            <w:tcW w:w="4848" w:type="dxa"/>
          </w:tcPr>
          <w:p w14:paraId="0528A150" w14:textId="77777777" w:rsidR="00DF5486" w:rsidRDefault="0005652B">
            <w:pPr>
              <w:pStyle w:val="Normal2"/>
              <w:ind w:firstLine="0"/>
              <w:rPr>
                <w:sz w:val="20"/>
                <w:szCs w:val="20"/>
                <w:lang w:val="en-GB"/>
              </w:rPr>
            </w:pPr>
            <w:r>
              <w:rPr>
                <w:sz w:val="20"/>
                <w:szCs w:val="20"/>
                <w:lang w:val="en-GB"/>
              </w:rPr>
              <w:t>For each data or set of data, policies may be established to ensure the necessity of the processing throughout its life cycle, as well as the technical and organisational mechanisms that may be necessary to limit the use of data previously required for processing.</w:t>
            </w:r>
          </w:p>
        </w:tc>
      </w:tr>
      <w:tr w:rsidR="00DF5486" w:rsidRPr="00C1334D" w14:paraId="504BDDFC" w14:textId="77777777">
        <w:tc>
          <w:tcPr>
            <w:tcW w:w="3686" w:type="dxa"/>
            <w:shd w:val="clear" w:color="auto" w:fill="auto"/>
          </w:tcPr>
          <w:p w14:paraId="47A97C8E" w14:textId="77777777" w:rsidR="00DF5486" w:rsidRDefault="0005652B">
            <w:pPr>
              <w:pStyle w:val="Normal2"/>
              <w:ind w:firstLine="0"/>
              <w:rPr>
                <w:sz w:val="20"/>
                <w:szCs w:val="20"/>
                <w:lang w:val="en-GB"/>
              </w:rPr>
            </w:pPr>
            <w:r>
              <w:rPr>
                <w:sz w:val="20"/>
                <w:szCs w:val="20"/>
                <w:lang w:val="en-GB"/>
              </w:rPr>
              <w:t xml:space="preserve">12.3 Expiry clauses are included in the data protection policies, the action plan and/or in the definition of the processing (section XIII.C.1 of the </w:t>
            </w:r>
            <w:r w:rsidR="0017413E">
              <w:fldChar w:fldCharType="begin"/>
            </w:r>
            <w:r w:rsidR="0017413E" w:rsidRPr="00C1334D">
              <w:rPr>
                <w:lang w:val="en-US"/>
              </w:rPr>
              <w:instrText xml:space="preserve"> HYPERLINK "https://www.aepd.es/es/documento/risk-management-and-impact-ass</w:instrText>
            </w:r>
            <w:r w:rsidR="0017413E" w:rsidRPr="00C1334D">
              <w:rPr>
                <w:lang w:val="en-US"/>
              </w:rPr>
              <w:instrText xml:space="preserve">essment-in-processing-personal-data.pdf" \h </w:instrText>
            </w:r>
            <w:r w:rsidR="0017413E">
              <w:fldChar w:fldCharType="separate"/>
            </w:r>
            <w:r>
              <w:rPr>
                <w:rStyle w:val="EnlacedeInternet"/>
                <w:sz w:val="20"/>
                <w:szCs w:val="20"/>
                <w:lang w:val="en-GB"/>
              </w:rPr>
              <w:t>Guide</w:t>
            </w:r>
            <w:r w:rsidR="0017413E">
              <w:rPr>
                <w:rStyle w:val="EnlacedeInternet"/>
                <w:sz w:val="20"/>
                <w:szCs w:val="20"/>
                <w:lang w:val="en-GB"/>
              </w:rPr>
              <w:fldChar w:fldCharType="end"/>
            </w:r>
            <w:r>
              <w:rPr>
                <w:sz w:val="20"/>
                <w:szCs w:val="20"/>
                <w:lang w:val="en-GB"/>
              </w:rPr>
              <w:t>).</w:t>
            </w:r>
          </w:p>
        </w:tc>
        <w:tc>
          <w:tcPr>
            <w:tcW w:w="1672" w:type="dxa"/>
            <w:vAlign w:val="center"/>
          </w:tcPr>
          <w:p w14:paraId="4C1C3166" w14:textId="77777777" w:rsidR="00DF5486" w:rsidRDefault="0005652B">
            <w:pPr>
              <w:pStyle w:val="Normal2"/>
              <w:ind w:firstLine="0"/>
              <w:jc w:val="center"/>
              <w:rPr>
                <w:sz w:val="16"/>
                <w:szCs w:val="18"/>
                <w:lang w:val="en-GB"/>
              </w:rPr>
            </w:pPr>
            <w:r>
              <w:rPr>
                <w:sz w:val="16"/>
                <w:szCs w:val="18"/>
                <w:lang w:val="en-GB"/>
              </w:rPr>
              <w:t>NO</w:t>
            </w:r>
          </w:p>
          <w:p w14:paraId="709FF06A" w14:textId="77777777" w:rsidR="00DF5486" w:rsidRDefault="0005652B">
            <w:pPr>
              <w:pStyle w:val="Normal2"/>
              <w:ind w:firstLine="0"/>
              <w:jc w:val="center"/>
              <w:rPr>
                <w:sz w:val="18"/>
                <w:szCs w:val="18"/>
                <w:lang w:val="en-GB"/>
              </w:rPr>
            </w:pPr>
            <w:r>
              <w:rPr>
                <w:sz w:val="16"/>
                <w:szCs w:val="18"/>
                <w:lang w:val="en-GB"/>
              </w:rPr>
              <w:t>YES, AND IT IS DEMONSTRATED</w:t>
            </w:r>
          </w:p>
        </w:tc>
        <w:tc>
          <w:tcPr>
            <w:tcW w:w="4848" w:type="dxa"/>
          </w:tcPr>
          <w:p w14:paraId="42D714F5" w14:textId="77777777" w:rsidR="00DF5486" w:rsidRDefault="0005652B">
            <w:pPr>
              <w:pStyle w:val="Normal2"/>
              <w:ind w:firstLine="0"/>
              <w:rPr>
                <w:sz w:val="20"/>
                <w:szCs w:val="20"/>
                <w:lang w:val="en-GB"/>
              </w:rPr>
            </w:pPr>
            <w:r>
              <w:rPr>
                <w:sz w:val="20"/>
                <w:szCs w:val="20"/>
                <w:lang w:val="en-GB"/>
              </w:rPr>
              <w:t>Processing may be needed on a short-term basis to address a particular problem. Once the situation has been resolved, the processing may no longer be necessary, which in practice means that limitations to continued processing are included in the analysis of need.</w:t>
            </w:r>
          </w:p>
        </w:tc>
      </w:tr>
    </w:tbl>
    <w:p w14:paraId="098FE45E" w14:textId="77777777" w:rsidR="00DF5486" w:rsidRDefault="00DF5486">
      <w:pPr>
        <w:pStyle w:val="Normal2"/>
        <w:rPr>
          <w:lang w:val="en-GB"/>
        </w:rPr>
      </w:pPr>
    </w:p>
    <w:p w14:paraId="70389920" w14:textId="77777777" w:rsidR="00DF5486" w:rsidRDefault="0005652B">
      <w:pPr>
        <w:spacing w:after="0" w:line="240" w:lineRule="auto"/>
        <w:rPr>
          <w:rFonts w:ascii="Arial" w:hAnsi="Arial" w:cs="Arial"/>
          <w:lang w:val="en-GB"/>
        </w:rPr>
      </w:pPr>
      <w:r w:rsidRPr="00CD0BE3">
        <w:rPr>
          <w:lang w:val="en-US"/>
        </w:rPr>
        <w:br w:type="page"/>
      </w:r>
    </w:p>
    <w:p w14:paraId="46575C8E" w14:textId="77777777" w:rsidR="00DF5486" w:rsidRDefault="00DF5486">
      <w:pPr>
        <w:pStyle w:val="Normal2"/>
        <w:rPr>
          <w:lang w:val="en-GB"/>
        </w:rPr>
      </w:pPr>
    </w:p>
    <w:p w14:paraId="20869E36" w14:textId="77777777" w:rsidR="00DF5486" w:rsidRDefault="0005652B">
      <w:pPr>
        <w:pStyle w:val="Ttulo2"/>
        <w:rPr>
          <w:lang w:val="en-GB"/>
        </w:rPr>
      </w:pPr>
      <w:r>
        <w:rPr>
          <w:lang w:val="en-GB"/>
        </w:rPr>
        <w:t>Additional Documentation (Fifth.5.m of Instruction 1/2021)</w:t>
      </w:r>
    </w:p>
    <w:tbl>
      <w:tblPr>
        <w:tblStyle w:val="Tablaconcuadrcula"/>
        <w:tblW w:w="10206" w:type="dxa"/>
        <w:tblInd w:w="-572" w:type="dxa"/>
        <w:tblLayout w:type="fixed"/>
        <w:tblLook w:val="04A0" w:firstRow="1" w:lastRow="0" w:firstColumn="1" w:lastColumn="0" w:noHBand="0" w:noVBand="1"/>
      </w:tblPr>
      <w:tblGrid>
        <w:gridCol w:w="3686"/>
        <w:gridCol w:w="1672"/>
        <w:gridCol w:w="4848"/>
      </w:tblGrid>
      <w:tr w:rsidR="00DF5486" w:rsidRPr="00C1334D" w14:paraId="705979F4" w14:textId="77777777">
        <w:tc>
          <w:tcPr>
            <w:tcW w:w="3686" w:type="dxa"/>
            <w:shd w:val="clear" w:color="auto" w:fill="FFDE93"/>
          </w:tcPr>
          <w:p w14:paraId="6770434C" w14:textId="77777777" w:rsidR="00DF5486" w:rsidRDefault="0005652B">
            <w:pPr>
              <w:pStyle w:val="Normal2"/>
              <w:ind w:firstLine="0"/>
              <w:jc w:val="center"/>
              <w:rPr>
                <w:b/>
                <w:bCs/>
                <w:sz w:val="20"/>
                <w:szCs w:val="20"/>
                <w:lang w:val="en-GB"/>
              </w:rPr>
            </w:pPr>
            <w:r>
              <w:rPr>
                <w:b/>
                <w:bCs/>
                <w:sz w:val="20"/>
                <w:szCs w:val="20"/>
                <w:lang w:val="en-GB"/>
              </w:rPr>
              <w:t>ELEMENTS OF VERIFICATION</w:t>
            </w:r>
          </w:p>
        </w:tc>
        <w:tc>
          <w:tcPr>
            <w:tcW w:w="1672" w:type="dxa"/>
            <w:shd w:val="clear" w:color="auto" w:fill="FFDE93"/>
          </w:tcPr>
          <w:p w14:paraId="58D2B7F7" w14:textId="77777777" w:rsidR="00DF5486" w:rsidRDefault="0005652B">
            <w:pPr>
              <w:pStyle w:val="Normal2"/>
              <w:ind w:firstLine="0"/>
              <w:jc w:val="center"/>
              <w:rPr>
                <w:b/>
                <w:bCs/>
                <w:sz w:val="18"/>
                <w:szCs w:val="18"/>
                <w:lang w:val="en-GB"/>
              </w:rPr>
            </w:pPr>
            <w:r>
              <w:rPr>
                <w:b/>
                <w:bCs/>
                <w:sz w:val="18"/>
                <w:szCs w:val="18"/>
                <w:lang w:val="en-GB"/>
              </w:rPr>
              <w:t>CHECK</w:t>
            </w:r>
          </w:p>
        </w:tc>
        <w:tc>
          <w:tcPr>
            <w:tcW w:w="4848" w:type="dxa"/>
            <w:shd w:val="clear" w:color="auto" w:fill="FFDE93"/>
          </w:tcPr>
          <w:p w14:paraId="26E85427" w14:textId="77777777" w:rsidR="00DF5486" w:rsidRDefault="0005652B">
            <w:pPr>
              <w:pStyle w:val="Normal2"/>
              <w:ind w:firstLine="0"/>
              <w:jc w:val="center"/>
              <w:rPr>
                <w:b/>
                <w:bCs/>
                <w:sz w:val="20"/>
                <w:szCs w:val="20"/>
                <w:lang w:val="en-GB"/>
              </w:rPr>
            </w:pPr>
            <w:r>
              <w:rPr>
                <w:b/>
                <w:bCs/>
                <w:sz w:val="20"/>
                <w:szCs w:val="20"/>
                <w:lang w:val="en-GB"/>
              </w:rPr>
              <w:t>COMMENTS</w:t>
            </w:r>
          </w:p>
          <w:p w14:paraId="39F11258" w14:textId="77777777" w:rsidR="00DF5486" w:rsidRDefault="0005652B">
            <w:pPr>
              <w:pStyle w:val="Normal2"/>
              <w:ind w:firstLine="0"/>
              <w:jc w:val="center"/>
              <w:rPr>
                <w:sz w:val="20"/>
                <w:szCs w:val="20"/>
                <w:lang w:val="en-GB"/>
              </w:rPr>
            </w:pPr>
            <w:r>
              <w:rPr>
                <w:sz w:val="20"/>
                <w:szCs w:val="20"/>
                <w:lang w:val="en-GB"/>
              </w:rPr>
              <w:t>(</w:t>
            </w:r>
            <w:proofErr w:type="gramStart"/>
            <w:r>
              <w:rPr>
                <w:sz w:val="20"/>
                <w:szCs w:val="20"/>
                <w:lang w:val="en-GB"/>
              </w:rPr>
              <w:t>replace</w:t>
            </w:r>
            <w:proofErr w:type="gramEnd"/>
            <w:r>
              <w:rPr>
                <w:sz w:val="20"/>
                <w:szCs w:val="20"/>
                <w:lang w:val="en-GB"/>
              </w:rPr>
              <w:t xml:space="preserve"> these comments with the appropriate ones in each case)</w:t>
            </w:r>
          </w:p>
        </w:tc>
      </w:tr>
      <w:tr w:rsidR="00DF5486" w:rsidRPr="00C1334D" w14:paraId="52DF898A" w14:textId="77777777">
        <w:tc>
          <w:tcPr>
            <w:tcW w:w="3686" w:type="dxa"/>
          </w:tcPr>
          <w:p w14:paraId="33A88A7D" w14:textId="77777777" w:rsidR="00DF5486" w:rsidRDefault="0005652B">
            <w:pPr>
              <w:pStyle w:val="Normal2"/>
              <w:ind w:firstLine="0"/>
              <w:rPr>
                <w:sz w:val="20"/>
                <w:szCs w:val="20"/>
                <w:lang w:val="en-GB"/>
              </w:rPr>
            </w:pPr>
            <w:r>
              <w:rPr>
                <w:sz w:val="20"/>
                <w:szCs w:val="20"/>
                <w:lang w:val="en-GB"/>
              </w:rPr>
              <w:t>13.1 The Supervisory Authority is given access to all documentation to ensure that the information provided is complete and accurate (art. 36.3 GDPR).</w:t>
            </w:r>
          </w:p>
        </w:tc>
        <w:tc>
          <w:tcPr>
            <w:tcW w:w="1672" w:type="dxa"/>
            <w:vAlign w:val="center"/>
          </w:tcPr>
          <w:p w14:paraId="63D5B932" w14:textId="77777777" w:rsidR="00DF5486" w:rsidRDefault="0005652B">
            <w:pPr>
              <w:pStyle w:val="Normal2"/>
              <w:ind w:firstLine="0"/>
              <w:jc w:val="center"/>
              <w:rPr>
                <w:sz w:val="16"/>
                <w:szCs w:val="18"/>
                <w:lang w:val="en-GB"/>
              </w:rPr>
            </w:pPr>
            <w:r>
              <w:rPr>
                <w:sz w:val="16"/>
                <w:szCs w:val="18"/>
                <w:lang w:val="en-GB"/>
              </w:rPr>
              <w:t>NO</w:t>
            </w:r>
          </w:p>
          <w:p w14:paraId="192EA090" w14:textId="77777777" w:rsidR="00DF5486" w:rsidRDefault="0005652B">
            <w:pPr>
              <w:pStyle w:val="Normal2"/>
              <w:ind w:firstLine="0"/>
              <w:jc w:val="center"/>
              <w:rPr>
                <w:sz w:val="18"/>
                <w:szCs w:val="18"/>
                <w:lang w:val="en-GB"/>
              </w:rPr>
            </w:pPr>
            <w:r>
              <w:rPr>
                <w:sz w:val="16"/>
                <w:szCs w:val="18"/>
                <w:lang w:val="en-GB"/>
              </w:rPr>
              <w:t>YES, AND IT IS DEMONSTRATED</w:t>
            </w:r>
          </w:p>
        </w:tc>
        <w:tc>
          <w:tcPr>
            <w:tcW w:w="4848" w:type="dxa"/>
          </w:tcPr>
          <w:p w14:paraId="2CD26F48" w14:textId="77777777" w:rsidR="00DF5486" w:rsidRDefault="0005652B">
            <w:pPr>
              <w:pStyle w:val="Normal2"/>
              <w:ind w:firstLine="0"/>
              <w:rPr>
                <w:sz w:val="20"/>
                <w:szCs w:val="20"/>
                <w:lang w:val="en-GB"/>
              </w:rPr>
            </w:pPr>
            <w:r>
              <w:rPr>
                <w:sz w:val="20"/>
                <w:szCs w:val="20"/>
                <w:lang w:val="en-GB"/>
              </w:rPr>
              <w:t>If necessary, the information that the data controller deems necessary must be made available to the Supervisory Authority, without prejudice to the powers that Article 58 of the GDPR grants to the Supervisory Authority itself.</w:t>
            </w:r>
          </w:p>
          <w:p w14:paraId="2003F520" w14:textId="77777777" w:rsidR="00DF5486" w:rsidRDefault="0005652B">
            <w:pPr>
              <w:pStyle w:val="Normal2"/>
              <w:ind w:firstLine="0"/>
              <w:rPr>
                <w:sz w:val="20"/>
                <w:szCs w:val="20"/>
                <w:lang w:val="en-GB"/>
              </w:rPr>
            </w:pPr>
            <w:r>
              <w:rPr>
                <w:sz w:val="20"/>
                <w:szCs w:val="20"/>
                <w:lang w:val="en-GB"/>
              </w:rPr>
              <w:t>Incomplete or inaccurate information, in addition to possible regulatory non-compliance, may be grounds for rejection of the prior consultation by the Supervisory Authority.</w:t>
            </w:r>
          </w:p>
        </w:tc>
      </w:tr>
    </w:tbl>
    <w:p w14:paraId="64AC66D2" w14:textId="77777777" w:rsidR="00DF5486" w:rsidRDefault="00DF5486">
      <w:pPr>
        <w:pStyle w:val="Normal2"/>
        <w:rPr>
          <w:sz w:val="20"/>
          <w:szCs w:val="20"/>
          <w:lang w:val="en-GB"/>
        </w:rPr>
      </w:pPr>
    </w:p>
    <w:p w14:paraId="44F17183" w14:textId="77777777" w:rsidR="00DF5486" w:rsidRDefault="0005652B">
      <w:pPr>
        <w:spacing w:after="0" w:line="240" w:lineRule="auto"/>
        <w:rPr>
          <w:rFonts w:ascii="Arial" w:hAnsi="Arial" w:cs="Arial"/>
          <w:sz w:val="20"/>
          <w:szCs w:val="20"/>
          <w:lang w:val="en-GB"/>
        </w:rPr>
      </w:pPr>
      <w:r w:rsidRPr="00CD0BE3">
        <w:rPr>
          <w:lang w:val="en-US"/>
        </w:rPr>
        <w:br w:type="page"/>
      </w:r>
    </w:p>
    <w:p w14:paraId="7D9C85A7" w14:textId="77777777" w:rsidR="00DF5486" w:rsidRDefault="00DF5486">
      <w:pPr>
        <w:pStyle w:val="Normal2"/>
        <w:rPr>
          <w:sz w:val="20"/>
          <w:szCs w:val="20"/>
          <w:lang w:val="en-GB"/>
        </w:rPr>
      </w:pPr>
      <w:bookmarkStart w:id="0" w:name="_Toc57821465"/>
      <w:bookmarkEnd w:id="0"/>
    </w:p>
    <w:p w14:paraId="78C05A6A" w14:textId="77777777" w:rsidR="00DF5486" w:rsidRDefault="0005652B">
      <w:pPr>
        <w:pStyle w:val="Ttulo2"/>
        <w:rPr>
          <w:lang w:val="en-GB"/>
        </w:rPr>
      </w:pPr>
      <w:r>
        <w:rPr>
          <w:lang w:val="en-GB"/>
        </w:rPr>
        <w:t>Compliance with the requirements for submission of prior consultation (Fifth.6, 7 of Instruction 1/2021)</w:t>
      </w:r>
    </w:p>
    <w:tbl>
      <w:tblPr>
        <w:tblStyle w:val="Tablaconcuadrcula"/>
        <w:tblW w:w="10206" w:type="dxa"/>
        <w:tblInd w:w="-572" w:type="dxa"/>
        <w:tblLayout w:type="fixed"/>
        <w:tblLook w:val="04A0" w:firstRow="1" w:lastRow="0" w:firstColumn="1" w:lastColumn="0" w:noHBand="0" w:noVBand="1"/>
      </w:tblPr>
      <w:tblGrid>
        <w:gridCol w:w="3686"/>
        <w:gridCol w:w="1672"/>
        <w:gridCol w:w="4848"/>
      </w:tblGrid>
      <w:tr w:rsidR="00DF5486" w:rsidRPr="00C1334D" w14:paraId="68091CD8" w14:textId="77777777">
        <w:tc>
          <w:tcPr>
            <w:tcW w:w="3686" w:type="dxa"/>
            <w:shd w:val="clear" w:color="auto" w:fill="FFDE93"/>
          </w:tcPr>
          <w:p w14:paraId="0659935E" w14:textId="77777777" w:rsidR="00DF5486" w:rsidRDefault="0005652B">
            <w:pPr>
              <w:pStyle w:val="Normal2"/>
              <w:ind w:firstLine="0"/>
              <w:jc w:val="center"/>
              <w:rPr>
                <w:b/>
                <w:bCs/>
                <w:sz w:val="20"/>
                <w:szCs w:val="20"/>
                <w:lang w:val="en-GB"/>
              </w:rPr>
            </w:pPr>
            <w:r>
              <w:rPr>
                <w:b/>
                <w:bCs/>
                <w:sz w:val="20"/>
                <w:szCs w:val="20"/>
                <w:lang w:val="en-GB"/>
              </w:rPr>
              <w:t>ELEMENTS OF VERIFICATION</w:t>
            </w:r>
          </w:p>
        </w:tc>
        <w:tc>
          <w:tcPr>
            <w:tcW w:w="1672" w:type="dxa"/>
            <w:shd w:val="clear" w:color="auto" w:fill="FFDE93"/>
          </w:tcPr>
          <w:p w14:paraId="35771E31" w14:textId="77777777" w:rsidR="00DF5486" w:rsidRDefault="0005652B">
            <w:pPr>
              <w:pStyle w:val="Normal2"/>
              <w:ind w:firstLine="0"/>
              <w:jc w:val="center"/>
              <w:rPr>
                <w:b/>
                <w:bCs/>
                <w:sz w:val="18"/>
                <w:szCs w:val="18"/>
                <w:lang w:val="en-GB"/>
              </w:rPr>
            </w:pPr>
            <w:r>
              <w:rPr>
                <w:b/>
                <w:bCs/>
                <w:sz w:val="18"/>
                <w:szCs w:val="18"/>
                <w:lang w:val="en-GB"/>
              </w:rPr>
              <w:t>CHECK</w:t>
            </w:r>
          </w:p>
        </w:tc>
        <w:tc>
          <w:tcPr>
            <w:tcW w:w="4848" w:type="dxa"/>
            <w:shd w:val="clear" w:color="auto" w:fill="FFDE93"/>
          </w:tcPr>
          <w:p w14:paraId="35CE1B9D" w14:textId="77777777" w:rsidR="00DF5486" w:rsidRDefault="0005652B">
            <w:pPr>
              <w:pStyle w:val="Normal2"/>
              <w:ind w:firstLine="0"/>
              <w:jc w:val="center"/>
              <w:rPr>
                <w:b/>
                <w:bCs/>
                <w:sz w:val="20"/>
                <w:szCs w:val="20"/>
                <w:lang w:val="en-GB"/>
              </w:rPr>
            </w:pPr>
            <w:r>
              <w:rPr>
                <w:b/>
                <w:bCs/>
                <w:sz w:val="20"/>
                <w:szCs w:val="20"/>
                <w:lang w:val="en-GB"/>
              </w:rPr>
              <w:t>COMMENTS</w:t>
            </w:r>
          </w:p>
          <w:p w14:paraId="3F061965" w14:textId="77777777" w:rsidR="00DF5486" w:rsidRDefault="0005652B">
            <w:pPr>
              <w:pStyle w:val="Normal2"/>
              <w:ind w:firstLine="0"/>
              <w:jc w:val="center"/>
              <w:rPr>
                <w:sz w:val="20"/>
                <w:szCs w:val="20"/>
                <w:lang w:val="en-GB"/>
              </w:rPr>
            </w:pPr>
            <w:r>
              <w:rPr>
                <w:sz w:val="20"/>
                <w:szCs w:val="20"/>
                <w:lang w:val="en-GB"/>
              </w:rPr>
              <w:t>(</w:t>
            </w:r>
            <w:proofErr w:type="gramStart"/>
            <w:r>
              <w:rPr>
                <w:sz w:val="20"/>
                <w:szCs w:val="20"/>
                <w:lang w:val="en-GB"/>
              </w:rPr>
              <w:t>replace</w:t>
            </w:r>
            <w:proofErr w:type="gramEnd"/>
            <w:r>
              <w:rPr>
                <w:sz w:val="20"/>
                <w:szCs w:val="20"/>
                <w:lang w:val="en-GB"/>
              </w:rPr>
              <w:t xml:space="preserve"> these comments with the appropriate ones in each case)</w:t>
            </w:r>
          </w:p>
        </w:tc>
      </w:tr>
      <w:tr w:rsidR="00DF5486" w:rsidRPr="00C1334D" w14:paraId="361FFFBE" w14:textId="77777777">
        <w:tc>
          <w:tcPr>
            <w:tcW w:w="3686" w:type="dxa"/>
          </w:tcPr>
          <w:p w14:paraId="40A46C8D" w14:textId="77777777" w:rsidR="00DF5486" w:rsidRDefault="0005652B">
            <w:pPr>
              <w:pStyle w:val="Normal2"/>
              <w:ind w:firstLine="0"/>
              <w:rPr>
                <w:sz w:val="20"/>
                <w:szCs w:val="20"/>
                <w:lang w:val="en-GB"/>
              </w:rPr>
            </w:pPr>
            <w:r>
              <w:rPr>
                <w:sz w:val="20"/>
                <w:szCs w:val="20"/>
                <w:lang w:val="en-GB"/>
              </w:rPr>
              <w:t>14.1 The prior consultation is signed by the controller.</w:t>
            </w:r>
          </w:p>
        </w:tc>
        <w:tc>
          <w:tcPr>
            <w:tcW w:w="1672" w:type="dxa"/>
            <w:vAlign w:val="center"/>
          </w:tcPr>
          <w:p w14:paraId="7EE52E24" w14:textId="77777777" w:rsidR="00DF5486" w:rsidRDefault="0005652B">
            <w:pPr>
              <w:pStyle w:val="Normal2"/>
              <w:ind w:firstLine="0"/>
              <w:jc w:val="center"/>
              <w:rPr>
                <w:sz w:val="16"/>
                <w:szCs w:val="18"/>
                <w:lang w:val="en-GB"/>
              </w:rPr>
            </w:pPr>
            <w:r>
              <w:rPr>
                <w:sz w:val="16"/>
                <w:szCs w:val="18"/>
                <w:lang w:val="en-GB"/>
              </w:rPr>
              <w:t>NO</w:t>
            </w:r>
          </w:p>
          <w:p w14:paraId="392821E0" w14:textId="77777777" w:rsidR="00DF5486" w:rsidRDefault="0005652B">
            <w:pPr>
              <w:pStyle w:val="Normal2"/>
              <w:ind w:firstLine="0"/>
              <w:jc w:val="center"/>
              <w:rPr>
                <w:sz w:val="20"/>
                <w:szCs w:val="20"/>
                <w:lang w:val="en-GB"/>
              </w:rPr>
            </w:pPr>
            <w:r>
              <w:rPr>
                <w:sz w:val="16"/>
                <w:szCs w:val="18"/>
                <w:lang w:val="en-GB"/>
              </w:rPr>
              <w:t>YES, AND IT IS DEMONSTRATED</w:t>
            </w:r>
          </w:p>
        </w:tc>
        <w:tc>
          <w:tcPr>
            <w:tcW w:w="4848" w:type="dxa"/>
          </w:tcPr>
          <w:p w14:paraId="53A85F85" w14:textId="77777777" w:rsidR="00DF5486" w:rsidRDefault="0005652B">
            <w:pPr>
              <w:pStyle w:val="Normal2"/>
              <w:ind w:firstLine="0"/>
              <w:rPr>
                <w:sz w:val="20"/>
                <w:szCs w:val="20"/>
                <w:lang w:val="en-GB"/>
              </w:rPr>
            </w:pPr>
            <w:r>
              <w:rPr>
                <w:sz w:val="20"/>
                <w:szCs w:val="20"/>
                <w:lang w:val="en-GB"/>
              </w:rPr>
              <w:t xml:space="preserve">Prior consultation is different from the DPIA, even if it is carried out </w:t>
            </w:r>
            <w:proofErr w:type="gramStart"/>
            <w:r>
              <w:rPr>
                <w:sz w:val="20"/>
                <w:szCs w:val="20"/>
                <w:lang w:val="en-GB"/>
              </w:rPr>
              <w:t>as a consequence of</w:t>
            </w:r>
            <w:proofErr w:type="gramEnd"/>
            <w:r>
              <w:rPr>
                <w:sz w:val="20"/>
                <w:szCs w:val="20"/>
                <w:lang w:val="en-GB"/>
              </w:rPr>
              <w:t xml:space="preserve"> the latter.</w:t>
            </w:r>
          </w:p>
          <w:p w14:paraId="7D6566A7" w14:textId="77777777" w:rsidR="00DF5486" w:rsidRDefault="0005652B">
            <w:pPr>
              <w:pStyle w:val="Normal2"/>
              <w:ind w:firstLine="0"/>
              <w:rPr>
                <w:sz w:val="20"/>
                <w:szCs w:val="20"/>
                <w:lang w:val="en-GB"/>
              </w:rPr>
            </w:pPr>
            <w:r>
              <w:rPr>
                <w:sz w:val="20"/>
                <w:szCs w:val="20"/>
                <w:lang w:val="en-GB"/>
              </w:rPr>
              <w:t>It is the controller, through its representatives, who must carry it out.</w:t>
            </w:r>
          </w:p>
        </w:tc>
      </w:tr>
      <w:tr w:rsidR="00DF5486" w:rsidRPr="00C1334D" w14:paraId="33964344" w14:textId="77777777">
        <w:tc>
          <w:tcPr>
            <w:tcW w:w="3686" w:type="dxa"/>
          </w:tcPr>
          <w:p w14:paraId="04A2E53B" w14:textId="77777777" w:rsidR="00DF5486" w:rsidRDefault="0005652B">
            <w:pPr>
              <w:pStyle w:val="Normal2"/>
              <w:ind w:firstLine="0"/>
              <w:rPr>
                <w:sz w:val="20"/>
                <w:szCs w:val="20"/>
                <w:lang w:val="en-GB"/>
              </w:rPr>
            </w:pPr>
            <w:r>
              <w:rPr>
                <w:sz w:val="20"/>
                <w:szCs w:val="20"/>
                <w:lang w:val="en-GB"/>
              </w:rPr>
              <w:t>14.2 The prior consultation is sent via the prior consultation channel provided by the AEPD at its website.</w:t>
            </w:r>
          </w:p>
        </w:tc>
        <w:tc>
          <w:tcPr>
            <w:tcW w:w="1672" w:type="dxa"/>
            <w:vAlign w:val="center"/>
          </w:tcPr>
          <w:p w14:paraId="7840CDAA" w14:textId="77777777" w:rsidR="00DF5486" w:rsidRDefault="0005652B">
            <w:pPr>
              <w:pStyle w:val="Normal2"/>
              <w:ind w:firstLine="0"/>
              <w:jc w:val="center"/>
              <w:rPr>
                <w:sz w:val="16"/>
                <w:szCs w:val="18"/>
                <w:lang w:val="en-GB"/>
              </w:rPr>
            </w:pPr>
            <w:r>
              <w:rPr>
                <w:sz w:val="16"/>
                <w:szCs w:val="18"/>
                <w:lang w:val="en-GB"/>
              </w:rPr>
              <w:t>NO</w:t>
            </w:r>
          </w:p>
          <w:p w14:paraId="691EECAA" w14:textId="77777777" w:rsidR="00DF5486" w:rsidRDefault="0005652B">
            <w:pPr>
              <w:pStyle w:val="Normal2"/>
              <w:ind w:firstLine="0"/>
              <w:jc w:val="center"/>
              <w:rPr>
                <w:sz w:val="20"/>
                <w:szCs w:val="20"/>
                <w:lang w:val="en-GB"/>
              </w:rPr>
            </w:pPr>
            <w:r>
              <w:rPr>
                <w:sz w:val="16"/>
                <w:szCs w:val="18"/>
                <w:lang w:val="en-GB"/>
              </w:rPr>
              <w:t>YES, AND IT IS DEMONSTRATED</w:t>
            </w:r>
          </w:p>
        </w:tc>
        <w:tc>
          <w:tcPr>
            <w:tcW w:w="4848" w:type="dxa"/>
          </w:tcPr>
          <w:p w14:paraId="626A23FA" w14:textId="77777777" w:rsidR="00DF5486" w:rsidRDefault="0005652B">
            <w:pPr>
              <w:pStyle w:val="Normal2"/>
              <w:ind w:firstLine="0"/>
              <w:rPr>
                <w:sz w:val="20"/>
                <w:szCs w:val="20"/>
                <w:lang w:val="en-GB"/>
              </w:rPr>
            </w:pPr>
            <w:r>
              <w:rPr>
                <w:sz w:val="20"/>
                <w:szCs w:val="20"/>
                <w:lang w:val="en-GB"/>
              </w:rPr>
              <w:t>The entry of a prior consultation must be made through the specific channel set up by the AEPD.</w:t>
            </w:r>
          </w:p>
          <w:p w14:paraId="1CF30F14" w14:textId="77777777" w:rsidR="00DF5486" w:rsidRDefault="0005652B">
            <w:pPr>
              <w:pStyle w:val="Normal2"/>
              <w:ind w:firstLine="0"/>
              <w:rPr>
                <w:sz w:val="20"/>
                <w:szCs w:val="20"/>
                <w:lang w:val="en-GB"/>
              </w:rPr>
            </w:pPr>
            <w:r>
              <w:rPr>
                <w:sz w:val="20"/>
                <w:szCs w:val="20"/>
                <w:lang w:val="en-GB"/>
              </w:rPr>
              <w:t>Requests for prior consultation through channels other than the one specifically established in the AEPD's website will lead to the rejection of the request.</w:t>
            </w:r>
          </w:p>
        </w:tc>
      </w:tr>
      <w:tr w:rsidR="00DF5486" w:rsidRPr="00C1334D" w14:paraId="359B670B" w14:textId="77777777">
        <w:tc>
          <w:tcPr>
            <w:tcW w:w="3686" w:type="dxa"/>
          </w:tcPr>
          <w:p w14:paraId="269F48BE" w14:textId="77777777" w:rsidR="00DF5486" w:rsidRDefault="0005652B">
            <w:pPr>
              <w:pStyle w:val="Normal2"/>
              <w:ind w:firstLine="0"/>
              <w:rPr>
                <w:sz w:val="20"/>
                <w:szCs w:val="20"/>
                <w:lang w:val="en-GB"/>
              </w:rPr>
            </w:pPr>
            <w:r>
              <w:rPr>
                <w:sz w:val="20"/>
                <w:szCs w:val="20"/>
                <w:lang w:val="en-GB"/>
              </w:rPr>
              <w:t>14.3 The request for prior consultation includes the DPIA (Art. 36.3 GDPR).</w:t>
            </w:r>
          </w:p>
        </w:tc>
        <w:tc>
          <w:tcPr>
            <w:tcW w:w="1672" w:type="dxa"/>
            <w:vAlign w:val="center"/>
          </w:tcPr>
          <w:p w14:paraId="47B66DFA" w14:textId="77777777" w:rsidR="00DF5486" w:rsidRDefault="0005652B">
            <w:pPr>
              <w:pStyle w:val="Normal2"/>
              <w:ind w:firstLine="0"/>
              <w:jc w:val="center"/>
              <w:rPr>
                <w:sz w:val="16"/>
                <w:szCs w:val="18"/>
                <w:lang w:val="en-GB"/>
              </w:rPr>
            </w:pPr>
            <w:r>
              <w:rPr>
                <w:sz w:val="16"/>
                <w:szCs w:val="18"/>
                <w:lang w:val="en-GB"/>
              </w:rPr>
              <w:t>NO</w:t>
            </w:r>
          </w:p>
          <w:p w14:paraId="3CA5D834" w14:textId="77777777" w:rsidR="00DF5486" w:rsidRDefault="0005652B">
            <w:pPr>
              <w:pStyle w:val="Normal2"/>
              <w:ind w:firstLine="0"/>
              <w:jc w:val="center"/>
              <w:rPr>
                <w:sz w:val="20"/>
                <w:szCs w:val="20"/>
                <w:lang w:val="en-GB"/>
              </w:rPr>
            </w:pPr>
            <w:r>
              <w:rPr>
                <w:sz w:val="16"/>
                <w:szCs w:val="18"/>
                <w:lang w:val="en-GB"/>
              </w:rPr>
              <w:t>YES, AND IT IS DEMONSTRATED</w:t>
            </w:r>
          </w:p>
        </w:tc>
        <w:tc>
          <w:tcPr>
            <w:tcW w:w="4848" w:type="dxa"/>
          </w:tcPr>
          <w:p w14:paraId="41640833" w14:textId="77777777" w:rsidR="00DF5486" w:rsidRDefault="0005652B">
            <w:pPr>
              <w:pStyle w:val="Normal2"/>
              <w:ind w:firstLine="0"/>
              <w:rPr>
                <w:sz w:val="20"/>
                <w:szCs w:val="20"/>
                <w:lang w:val="en-GB"/>
              </w:rPr>
            </w:pPr>
            <w:r>
              <w:rPr>
                <w:sz w:val="20"/>
                <w:szCs w:val="20"/>
                <w:lang w:val="en-GB"/>
              </w:rPr>
              <w:t xml:space="preserve">The DPIA will have to comply formally with the formal requirements of this checklist and substantively with the requirements developed in the </w:t>
            </w:r>
            <w:r w:rsidR="0017413E">
              <w:fldChar w:fldCharType="begin"/>
            </w:r>
            <w:r w:rsidR="0017413E" w:rsidRPr="00C1334D">
              <w:rPr>
                <w:lang w:val="en-US"/>
              </w:rPr>
              <w:instrText xml:space="preserve"> HYPERLINK "https://www.aepd.es/es/documento/ris</w:instrText>
            </w:r>
            <w:r w:rsidR="0017413E" w:rsidRPr="00C1334D">
              <w:rPr>
                <w:lang w:val="en-US"/>
              </w:rPr>
              <w:instrText xml:space="preserve">k-management-and-impact-assessment-in-processing-personal-data.pdf" \h </w:instrText>
            </w:r>
            <w:r w:rsidR="0017413E">
              <w:fldChar w:fldCharType="separate"/>
            </w:r>
            <w:r>
              <w:rPr>
                <w:rStyle w:val="EnlacedeInternet"/>
                <w:sz w:val="20"/>
                <w:szCs w:val="20"/>
                <w:lang w:val="en-GB"/>
              </w:rPr>
              <w:t>Guide</w:t>
            </w:r>
            <w:r w:rsidR="0017413E">
              <w:rPr>
                <w:rStyle w:val="EnlacedeInternet"/>
                <w:sz w:val="20"/>
                <w:szCs w:val="20"/>
                <w:lang w:val="en-GB"/>
              </w:rPr>
              <w:fldChar w:fldCharType="end"/>
            </w:r>
            <w:r>
              <w:rPr>
                <w:sz w:val="20"/>
                <w:szCs w:val="20"/>
                <w:lang w:val="en-GB"/>
              </w:rPr>
              <w:t>.</w:t>
            </w:r>
          </w:p>
        </w:tc>
      </w:tr>
      <w:tr w:rsidR="00DF5486" w:rsidRPr="00C1334D" w14:paraId="1AE31C30" w14:textId="77777777">
        <w:tc>
          <w:tcPr>
            <w:tcW w:w="3686" w:type="dxa"/>
          </w:tcPr>
          <w:p w14:paraId="25CCD4A9" w14:textId="77777777" w:rsidR="00DF5486" w:rsidRDefault="0005652B">
            <w:pPr>
              <w:pStyle w:val="Normal2"/>
              <w:ind w:firstLine="0"/>
              <w:rPr>
                <w:sz w:val="20"/>
                <w:szCs w:val="20"/>
                <w:lang w:val="en-GB"/>
              </w:rPr>
            </w:pPr>
            <w:r>
              <w:rPr>
                <w:sz w:val="20"/>
                <w:szCs w:val="20"/>
                <w:lang w:val="en-GB"/>
              </w:rPr>
              <w:t>14.4 This checklist is completed with evidence to support the answers.</w:t>
            </w:r>
          </w:p>
        </w:tc>
        <w:tc>
          <w:tcPr>
            <w:tcW w:w="1672" w:type="dxa"/>
            <w:vAlign w:val="center"/>
          </w:tcPr>
          <w:p w14:paraId="3E070BB2" w14:textId="77777777" w:rsidR="00DF5486" w:rsidRDefault="0005652B">
            <w:pPr>
              <w:pStyle w:val="Normal2"/>
              <w:ind w:firstLine="0"/>
              <w:jc w:val="center"/>
              <w:rPr>
                <w:sz w:val="16"/>
                <w:szCs w:val="18"/>
                <w:lang w:val="en-GB"/>
              </w:rPr>
            </w:pPr>
            <w:r>
              <w:rPr>
                <w:sz w:val="16"/>
                <w:szCs w:val="18"/>
                <w:lang w:val="en-GB"/>
              </w:rPr>
              <w:t>NO</w:t>
            </w:r>
          </w:p>
          <w:p w14:paraId="2F587D43" w14:textId="77777777" w:rsidR="00DF5486" w:rsidRDefault="0005652B">
            <w:pPr>
              <w:pStyle w:val="Normal2"/>
              <w:ind w:firstLine="0"/>
              <w:jc w:val="center"/>
              <w:rPr>
                <w:sz w:val="20"/>
                <w:szCs w:val="20"/>
                <w:lang w:val="en-GB"/>
              </w:rPr>
            </w:pPr>
            <w:r>
              <w:rPr>
                <w:sz w:val="16"/>
                <w:szCs w:val="18"/>
                <w:lang w:val="en-GB"/>
              </w:rPr>
              <w:t>YES, AND IT IS DEMONSTRATED</w:t>
            </w:r>
          </w:p>
        </w:tc>
        <w:tc>
          <w:tcPr>
            <w:tcW w:w="4848" w:type="dxa"/>
          </w:tcPr>
          <w:p w14:paraId="70CA45C2" w14:textId="77777777" w:rsidR="00DF5486" w:rsidRDefault="0005652B">
            <w:pPr>
              <w:pStyle w:val="Normal2"/>
              <w:ind w:firstLine="0"/>
              <w:rPr>
                <w:sz w:val="20"/>
                <w:szCs w:val="20"/>
                <w:lang w:val="en-GB"/>
              </w:rPr>
            </w:pPr>
            <w:r>
              <w:rPr>
                <w:sz w:val="20"/>
                <w:szCs w:val="20"/>
                <w:lang w:val="en-GB"/>
              </w:rPr>
              <w:t>Strict compliance with this checklist will allow you to ensure that the prior consultation request formally meets the requirements to be considered as such.</w:t>
            </w:r>
          </w:p>
        </w:tc>
      </w:tr>
    </w:tbl>
    <w:p w14:paraId="15BD28E5" w14:textId="77777777" w:rsidR="00DF5486" w:rsidRDefault="0005652B">
      <w:pPr>
        <w:pStyle w:val="Ttulo1"/>
        <w:rPr>
          <w:lang w:val="en-GB"/>
        </w:rPr>
      </w:pPr>
      <w:r w:rsidRPr="00CD0BE3">
        <w:rPr>
          <w:lang w:val="en-US"/>
        </w:rPr>
        <w:br w:type="page"/>
      </w:r>
      <w:r>
        <w:rPr>
          <w:lang w:val="en-GB"/>
        </w:rPr>
        <w:lastRenderedPageBreak/>
        <w:t>Guides and tools</w:t>
      </w:r>
    </w:p>
    <w:p w14:paraId="14D6894C" w14:textId="77777777" w:rsidR="00DF5486" w:rsidRDefault="0005652B">
      <w:pPr>
        <w:pStyle w:val="Normal2"/>
        <w:rPr>
          <w:lang w:val="en-GB"/>
        </w:rPr>
      </w:pPr>
      <w:r>
        <w:rPr>
          <w:lang w:val="en-GB"/>
        </w:rPr>
        <w:t xml:space="preserve">The AEPD has made available to data controllers and data processors a set of guides and tools to assist in risk management for the rights and freedoms of data subjects, as well as for the process of implementing the DPIA. This material is available on the AEPD website </w:t>
      </w:r>
      <w:hyperlink r:id="rId21">
        <w:r>
          <w:rPr>
            <w:rStyle w:val="EnlacedeInternet"/>
            <w:lang w:val="en-GB"/>
          </w:rPr>
          <w:t>www.aepd.es</w:t>
        </w:r>
      </w:hyperlink>
      <w:r>
        <w:rPr>
          <w:lang w:val="en-GB"/>
        </w:rPr>
        <w:t xml:space="preserve"> and</w:t>
      </w:r>
      <w:proofErr w:type="gramStart"/>
      <w:r>
        <w:rPr>
          <w:lang w:val="en-GB"/>
        </w:rPr>
        <w:t>, in particular, in</w:t>
      </w:r>
      <w:proofErr w:type="gramEnd"/>
      <w:r>
        <w:rPr>
          <w:lang w:val="en-GB"/>
        </w:rPr>
        <w:t xml:space="preserve"> the following sections of the website:</w:t>
      </w:r>
    </w:p>
    <w:p w14:paraId="055DF39E" w14:textId="77777777" w:rsidR="00DF5486" w:rsidRDefault="0017413E">
      <w:pPr>
        <w:pStyle w:val="Topo1"/>
        <w:numPr>
          <w:ilvl w:val="0"/>
          <w:numId w:val="2"/>
        </w:numPr>
        <w:rPr>
          <w:lang w:val="en-GB"/>
        </w:rPr>
      </w:pPr>
      <w:hyperlink r:id="rId22">
        <w:r w:rsidR="0005652B">
          <w:rPr>
            <w:rStyle w:val="EnlacedeInternet"/>
            <w:lang w:val="en-GB"/>
          </w:rPr>
          <w:t>Fulfil your duties</w:t>
        </w:r>
      </w:hyperlink>
    </w:p>
    <w:p w14:paraId="0057A10F" w14:textId="77777777" w:rsidR="00DF5486" w:rsidRDefault="0017413E">
      <w:pPr>
        <w:pStyle w:val="Topo1"/>
        <w:numPr>
          <w:ilvl w:val="0"/>
          <w:numId w:val="2"/>
        </w:numPr>
        <w:rPr>
          <w:lang w:val="en-GB"/>
        </w:rPr>
      </w:pPr>
      <w:hyperlink r:id="rId23">
        <w:r w:rsidR="0005652B">
          <w:rPr>
            <w:rStyle w:val="EnlacedeInternet"/>
            <w:lang w:val="en-GB"/>
          </w:rPr>
          <w:t>Innovation and technology</w:t>
        </w:r>
      </w:hyperlink>
    </w:p>
    <w:p w14:paraId="3CCA79D1" w14:textId="77777777" w:rsidR="00DF5486" w:rsidRDefault="0017413E">
      <w:pPr>
        <w:pStyle w:val="Topo1"/>
        <w:numPr>
          <w:ilvl w:val="0"/>
          <w:numId w:val="2"/>
        </w:numPr>
        <w:rPr>
          <w:rStyle w:val="EnlacedeInternet"/>
          <w:lang w:val="en-GB"/>
        </w:rPr>
      </w:pPr>
      <w:hyperlink r:id="rId24">
        <w:r w:rsidR="0005652B">
          <w:rPr>
            <w:rStyle w:val="EnlacedeInternet"/>
            <w:lang w:val="en-GB"/>
          </w:rPr>
          <w:t>Guides</w:t>
        </w:r>
      </w:hyperlink>
    </w:p>
    <w:p w14:paraId="3EB017B3" w14:textId="77777777" w:rsidR="00DF5486" w:rsidRDefault="0017413E">
      <w:pPr>
        <w:pStyle w:val="Topo1"/>
        <w:numPr>
          <w:ilvl w:val="0"/>
          <w:numId w:val="2"/>
        </w:numPr>
        <w:rPr>
          <w:rStyle w:val="EnlacedeInternet"/>
          <w:lang w:val="en-GB"/>
        </w:rPr>
      </w:pPr>
      <w:hyperlink r:id="rId25">
        <w:r w:rsidR="0005652B">
          <w:rPr>
            <w:rStyle w:val="EnlacedeInternet"/>
            <w:lang w:val="en-GB"/>
          </w:rPr>
          <w:t>Tools</w:t>
        </w:r>
      </w:hyperlink>
    </w:p>
    <w:p w14:paraId="048A0EEA" w14:textId="77777777" w:rsidR="00DF5486" w:rsidRDefault="0017413E">
      <w:pPr>
        <w:pStyle w:val="Normal2"/>
        <w:rPr>
          <w:lang w:val="en-GB"/>
        </w:rPr>
      </w:pPr>
      <w:hyperlink r:id="rId26">
        <w:r w:rsidR="0005652B">
          <w:rPr>
            <w:lang w:val="en-GB"/>
          </w:rPr>
          <w:t xml:space="preserve">In particular, the DPIA and the relevant prior consultation must </w:t>
        </w:r>
        <w:proofErr w:type="gramStart"/>
        <w:r w:rsidR="0005652B">
          <w:rPr>
            <w:lang w:val="en-GB"/>
          </w:rPr>
          <w:t>take into account</w:t>
        </w:r>
        <w:proofErr w:type="gramEnd"/>
        <w:r w:rsidR="0005652B">
          <w:rPr>
            <w:lang w:val="en-GB"/>
          </w:rPr>
          <w:t xml:space="preserve"> the following provisions of the AEPD:</w:t>
        </w:r>
      </w:hyperlink>
    </w:p>
    <w:p w14:paraId="3F6AD52A" w14:textId="77777777" w:rsidR="00DF5486" w:rsidRDefault="0017413E">
      <w:pPr>
        <w:pStyle w:val="Topo1"/>
        <w:numPr>
          <w:ilvl w:val="0"/>
          <w:numId w:val="2"/>
        </w:numPr>
        <w:ind w:left="1003" w:hanging="357"/>
        <w:rPr>
          <w:rStyle w:val="EnlacedeInternet"/>
          <w:lang w:val="en-GB"/>
        </w:rPr>
      </w:pPr>
      <w:hyperlink r:id="rId27" w:tgtFrame="https://www.aepd.es/es/documento/gestion-riesgo-y-evaluacion-impacto-en-tratamientos-datos-personales.pdf">
        <w:r w:rsidR="0005652B">
          <w:rPr>
            <w:rStyle w:val="EnlacedeInternet"/>
            <w:lang w:val="en-GB"/>
          </w:rPr>
          <w:t>Risk management and impact assessment in the processing of personal data</w:t>
        </w:r>
      </w:hyperlink>
    </w:p>
    <w:p w14:paraId="008081E8" w14:textId="77777777" w:rsidR="00DF5486" w:rsidRDefault="0017413E">
      <w:pPr>
        <w:pStyle w:val="Topo1"/>
        <w:numPr>
          <w:ilvl w:val="0"/>
          <w:numId w:val="2"/>
        </w:numPr>
        <w:ind w:left="1003" w:hanging="357"/>
        <w:rPr>
          <w:rStyle w:val="EnlacedeInternet"/>
          <w:lang w:val="en-GB"/>
        </w:rPr>
      </w:pPr>
      <w:hyperlink r:id="rId28" w:tgtFrame="https://www.aepd.es/es/documento/relacion-tablas-guia-riesgo-eipd-tablas.odt">
        <w:r w:rsidR="0005652B">
          <w:rPr>
            <w:rStyle w:val="EnlacedeInternet"/>
            <w:lang w:val="en-GB"/>
          </w:rPr>
          <w:t>List of tables from the Risk Management and Impact Assessment guide in editable format</w:t>
        </w:r>
      </w:hyperlink>
    </w:p>
    <w:p w14:paraId="5D0445FF" w14:textId="77777777" w:rsidR="00DF5486" w:rsidRDefault="0017413E">
      <w:pPr>
        <w:pStyle w:val="Topo1"/>
        <w:numPr>
          <w:ilvl w:val="0"/>
          <w:numId w:val="2"/>
        </w:numPr>
        <w:ind w:left="1003" w:hanging="357"/>
        <w:rPr>
          <w:rStyle w:val="EnlacedeInternet"/>
          <w:lang w:val="en-GB"/>
        </w:rPr>
      </w:pPr>
      <w:hyperlink r:id="rId29" w:tgtFrame="https://www.aepd.es/sites/default/files/2019-09/listas-dpia-es-35-4.pdf">
        <w:r w:rsidR="0005652B">
          <w:rPr>
            <w:rStyle w:val="EnlacedeInternet"/>
            <w:lang w:val="en-GB"/>
          </w:rPr>
          <w:t>Lists of types of data processing requiring a DPIA (Art. 35.4)</w:t>
        </w:r>
      </w:hyperlink>
    </w:p>
    <w:p w14:paraId="07FE21A1" w14:textId="77777777" w:rsidR="00DF5486" w:rsidRDefault="0017413E">
      <w:pPr>
        <w:pStyle w:val="Topo1"/>
        <w:numPr>
          <w:ilvl w:val="0"/>
          <w:numId w:val="2"/>
        </w:numPr>
        <w:ind w:left="1003" w:hanging="357"/>
        <w:rPr>
          <w:rStyle w:val="EnlacedeInternet"/>
          <w:lang w:val="en-GB"/>
        </w:rPr>
      </w:pPr>
      <w:hyperlink r:id="rId30" w:tgtFrame="https://www.aepd.es/sites/default/files/2019-09/ListasDPIA-35.5l.pdf">
        <w:r w:rsidR="0005652B">
          <w:rPr>
            <w:rStyle w:val="EnlacedeInternet"/>
            <w:lang w:val="en-GB"/>
          </w:rPr>
          <w:t>Indicative list of types of data processing which do not require a data protection impact assessment (Art. 35.5)</w:t>
        </w:r>
      </w:hyperlink>
    </w:p>
    <w:p w14:paraId="3B5CE233" w14:textId="77777777" w:rsidR="00DF5486" w:rsidRDefault="0017413E">
      <w:pPr>
        <w:pStyle w:val="Topo1"/>
        <w:numPr>
          <w:ilvl w:val="0"/>
          <w:numId w:val="2"/>
        </w:numPr>
        <w:ind w:left="1003" w:hanging="357"/>
        <w:rPr>
          <w:rStyle w:val="EnlacedeInternet"/>
          <w:lang w:val="en-GB"/>
        </w:rPr>
      </w:pPr>
      <w:hyperlink r:id="rId31" w:tgtFrame="_blank">
        <w:r w:rsidR="0005652B">
          <w:rPr>
            <w:rStyle w:val="EnlacedeInternet"/>
            <w:lang w:val="en-GB"/>
          </w:rPr>
          <w:t>AEPD Instruction 1/2021 on guidelines regarding the Agency's advisory function. Chapter IV: Prior Consultation</w:t>
        </w:r>
      </w:hyperlink>
    </w:p>
    <w:p w14:paraId="755E87A8" w14:textId="77777777" w:rsidR="00DF5486" w:rsidRDefault="0017413E">
      <w:pPr>
        <w:pStyle w:val="Topo1"/>
        <w:numPr>
          <w:ilvl w:val="0"/>
          <w:numId w:val="2"/>
        </w:numPr>
        <w:ind w:left="1003" w:hanging="357"/>
        <w:rPr>
          <w:rStyle w:val="EnlacedeInternet"/>
          <w:lang w:val="en-GB"/>
        </w:rPr>
      </w:pPr>
      <w:hyperlink r:id="rId32" w:tgtFrame="https://www.aepd.es/sites/default/files/2020-03/modelo-informe-EIPD-AAPP.rtf">
        <w:r w:rsidR="0005652B">
          <w:rPr>
            <w:rStyle w:val="EnlacedeInternet"/>
            <w:lang w:val="en-GB"/>
          </w:rPr>
          <w:t>Data Protection Impact Assessment (DPA) report template for Public Administrations</w:t>
        </w:r>
      </w:hyperlink>
    </w:p>
    <w:p w14:paraId="46871CA9" w14:textId="77777777" w:rsidR="00DF5486" w:rsidRDefault="0017413E">
      <w:pPr>
        <w:pStyle w:val="Topo1"/>
        <w:numPr>
          <w:ilvl w:val="0"/>
          <w:numId w:val="2"/>
        </w:numPr>
        <w:ind w:left="1003" w:hanging="357"/>
        <w:rPr>
          <w:rStyle w:val="EnlacedeInternet"/>
          <w:lang w:val="en-GB"/>
        </w:rPr>
      </w:pPr>
      <w:hyperlink r:id="rId33" w:tgtFrame="https://www.aepd.es/sites/default/files/2020-03/modelo-informe-EIPD-sector-privado.rtf">
        <w:r w:rsidR="0005652B">
          <w:rPr>
            <w:rStyle w:val="EnlacedeInternet"/>
            <w:lang w:val="en-GB"/>
          </w:rPr>
          <w:t>Data Protection Impact Assessment (DPA) report template for the Private Sector</w:t>
        </w:r>
      </w:hyperlink>
    </w:p>
    <w:p w14:paraId="48635723" w14:textId="77777777" w:rsidR="00DF5486" w:rsidRDefault="0017413E">
      <w:pPr>
        <w:pStyle w:val="Topo1"/>
        <w:numPr>
          <w:ilvl w:val="0"/>
          <w:numId w:val="2"/>
        </w:numPr>
        <w:ind w:left="1003" w:hanging="357"/>
        <w:rPr>
          <w:rStyle w:val="EnlacedeInternet"/>
          <w:lang w:val="en-GB"/>
        </w:rPr>
      </w:pPr>
      <w:hyperlink r:id="rId34">
        <w:r w:rsidR="0005652B">
          <w:rPr>
            <w:rStyle w:val="EnlacedeInternet"/>
            <w:lang w:val="en-GB"/>
          </w:rPr>
          <w:t>EDPS: Guidelines on assessing the proportionality of processing in policies and legislative measures</w:t>
        </w:r>
      </w:hyperlink>
    </w:p>
    <w:p w14:paraId="2612A817" w14:textId="77777777" w:rsidR="00DF5486" w:rsidRDefault="0017413E">
      <w:pPr>
        <w:pStyle w:val="Topo1"/>
        <w:numPr>
          <w:ilvl w:val="0"/>
          <w:numId w:val="2"/>
        </w:numPr>
        <w:ind w:left="1003" w:hanging="357"/>
        <w:rPr>
          <w:rStyle w:val="EnlacedeInternet"/>
          <w:lang w:val="en-GB"/>
        </w:rPr>
      </w:pPr>
      <w:hyperlink r:id="rId35">
        <w:r w:rsidR="0005652B">
          <w:rPr>
            <w:rStyle w:val="EnlacedeInternet"/>
            <w:lang w:val="en-GB"/>
          </w:rPr>
          <w:t>EDPS: Guidelines on assessing the necessity for processing in policies and legislative measures</w:t>
        </w:r>
      </w:hyperlink>
    </w:p>
    <w:p w14:paraId="34C7540C" w14:textId="77777777" w:rsidR="00DF5486" w:rsidRDefault="0017413E">
      <w:pPr>
        <w:pStyle w:val="Topo1"/>
        <w:numPr>
          <w:ilvl w:val="0"/>
          <w:numId w:val="2"/>
        </w:numPr>
        <w:ind w:left="1003" w:hanging="357"/>
        <w:rPr>
          <w:rStyle w:val="EnlacedeInternet"/>
          <w:lang w:val="en-GB"/>
        </w:rPr>
      </w:pPr>
      <w:hyperlink r:id="rId36" w:tgtFrame="https://www.aepd.es/es/guias-y-herramientas/herramientas/evalua-riesgo-rgpd">
        <w:r w:rsidR="0005652B">
          <w:rPr>
            <w:rStyle w:val="EnlacedeInternet"/>
            <w:lang w:val="en-GB"/>
          </w:rPr>
          <w:t>EVALUA-RIESGO Tool for risk factor analysis</w:t>
        </w:r>
      </w:hyperlink>
    </w:p>
    <w:p w14:paraId="5DF01418" w14:textId="77777777" w:rsidR="00DF5486" w:rsidRDefault="0017413E">
      <w:pPr>
        <w:pStyle w:val="Topo1"/>
        <w:numPr>
          <w:ilvl w:val="0"/>
          <w:numId w:val="2"/>
        </w:numPr>
        <w:ind w:left="1003" w:hanging="357"/>
        <w:rPr>
          <w:rStyle w:val="EnlacedeInternet"/>
          <w:lang w:val="en-GB"/>
        </w:rPr>
      </w:pPr>
      <w:hyperlink r:id="rId37" w:tgtFrame="https://www.aepd.es/es/guias-y-herramientas/herramientas/facilita-rgpd">
        <w:r w:rsidR="0005652B">
          <w:rPr>
            <w:rStyle w:val="EnlacedeInternet"/>
            <w:lang w:val="en-GB"/>
          </w:rPr>
          <w:t>A tool to help companies that carry out low-risk processing of personal data to comply with the GDPR: FACILITA RGPD</w:t>
        </w:r>
      </w:hyperlink>
    </w:p>
    <w:p w14:paraId="5E3FBE59" w14:textId="77777777" w:rsidR="00DF5486" w:rsidRDefault="0017413E">
      <w:pPr>
        <w:pStyle w:val="Topo1"/>
        <w:numPr>
          <w:ilvl w:val="0"/>
          <w:numId w:val="2"/>
        </w:numPr>
        <w:ind w:left="1003" w:hanging="357"/>
        <w:rPr>
          <w:rStyle w:val="EnlacedeInternet"/>
          <w:lang w:val="en-GB"/>
        </w:rPr>
      </w:pPr>
      <w:hyperlink r:id="rId38" w:tgtFrame="https://www.aepd.es/es/guias-y-herramientas/herramientas/facilita-emprende">
        <w:r w:rsidR="0005652B">
          <w:rPr>
            <w:rStyle w:val="EnlacedeInternet"/>
            <w:lang w:val="en-GB"/>
          </w:rPr>
          <w:t>A tool to help entrepreneurs and technology start-ups to comply with data protection regulations: FACILITA EMPRENDE</w:t>
        </w:r>
      </w:hyperlink>
    </w:p>
    <w:p w14:paraId="4E76502C" w14:textId="77777777" w:rsidR="00DF5486" w:rsidRDefault="00DF5486">
      <w:pPr>
        <w:pStyle w:val="Normal2"/>
        <w:rPr>
          <w:lang w:val="en-GB"/>
        </w:rPr>
      </w:pPr>
    </w:p>
    <w:sectPr w:rsidR="00DF5486">
      <w:headerReference w:type="default" r:id="rId39"/>
      <w:footerReference w:type="default" r:id="rId40"/>
      <w:pgSz w:w="11906" w:h="16838"/>
      <w:pgMar w:top="1917" w:right="1558" w:bottom="777" w:left="1417"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D6BD7" w14:textId="77777777" w:rsidR="0017413E" w:rsidRDefault="0017413E">
      <w:pPr>
        <w:spacing w:after="0" w:line="240" w:lineRule="auto"/>
      </w:pPr>
      <w:r>
        <w:separator/>
      </w:r>
    </w:p>
  </w:endnote>
  <w:endnote w:type="continuationSeparator" w:id="0">
    <w:p w14:paraId="0B274AF3" w14:textId="77777777" w:rsidR="0017413E" w:rsidRDefault="0017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altName w:val="Source Sans Pro SemiBold"/>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Heavy">
    <w:panose1 w:val="00000000000000000000"/>
    <w:charset w:val="00"/>
    <w:family w:val="swiss"/>
    <w:notTrueType/>
    <w:pitch w:val="default"/>
    <w:sig w:usb0="00000003" w:usb1="00000000" w:usb2="00000000" w:usb3="00000000" w:csb0="00000001" w:csb1="00000000"/>
  </w:font>
  <w:font w:name="Bankia">
    <w:altName w:val="Cambria"/>
    <w:charset w:val="00"/>
    <w:family w:val="auto"/>
    <w:pitch w:val="variable"/>
    <w:sig w:usb0="A000002F" w:usb1="5000A06A" w:usb2="00000000" w:usb3="00000000" w:csb0="00000093" w:csb1="00000000"/>
  </w:font>
  <w:font w:name="Arial MT">
    <w:charset w:val="01"/>
    <w:family w:val="swiss"/>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1796" w14:textId="77777777" w:rsidR="00DF5486" w:rsidRDefault="0005652B">
    <w:pPr>
      <w:tabs>
        <w:tab w:val="center" w:pos="3969"/>
        <w:tab w:val="right" w:pos="8789"/>
      </w:tabs>
      <w:spacing w:after="0" w:line="240" w:lineRule="auto"/>
      <w:jc w:val="right"/>
      <w:rPr>
        <w:rFonts w:ascii="Arial" w:hAnsi="Arial" w:cs="Arial"/>
        <w:sz w:val="14"/>
        <w:lang w:val="fr-FR"/>
      </w:rPr>
    </w:pPr>
    <w:r>
      <w:rPr>
        <w:rFonts w:ascii="Arial" w:hAnsi="Arial" w:cs="Arial"/>
        <w:sz w:val="14"/>
      </w:rPr>
      <w:t xml:space="preserve">Page: </w:t>
    </w:r>
    <w:r>
      <w:rPr>
        <w:rFonts w:ascii="Arial" w:hAnsi="Arial" w:cs="Arial"/>
        <w:sz w:val="14"/>
      </w:rPr>
      <w:fldChar w:fldCharType="begin"/>
    </w:r>
    <w:r>
      <w:rPr>
        <w:rFonts w:ascii="Arial" w:hAnsi="Arial" w:cs="Arial"/>
        <w:sz w:val="14"/>
      </w:rPr>
      <w:instrText>PAGE</w:instrText>
    </w:r>
    <w:r>
      <w:rPr>
        <w:rFonts w:ascii="Arial" w:hAnsi="Arial" w:cs="Arial"/>
        <w:sz w:val="14"/>
      </w:rPr>
      <w:fldChar w:fldCharType="separate"/>
    </w:r>
    <w:r>
      <w:rPr>
        <w:rFonts w:ascii="Arial" w:hAnsi="Arial" w:cs="Arial"/>
        <w:sz w:val="14"/>
      </w:rPr>
      <w:t>3</w:t>
    </w:r>
    <w:r>
      <w:rPr>
        <w:rFonts w:ascii="Arial" w:hAnsi="Arial" w:cs="Arial"/>
        <w:sz w:val="14"/>
      </w:rPr>
      <w:fldChar w:fldCharType="end"/>
    </w:r>
    <w:r>
      <w:rPr>
        <w:rFonts w:ascii="Arial" w:hAnsi="Arial" w:cs="Arial"/>
        <w:sz w:val="14"/>
      </w:rPr>
      <w:t xml:space="preserve"> </w:t>
    </w:r>
    <w:proofErr w:type="spellStart"/>
    <w:r>
      <w:rPr>
        <w:rFonts w:ascii="Arial" w:hAnsi="Arial" w:cs="Arial"/>
        <w:sz w:val="14"/>
      </w:rPr>
      <w:t>from</w:t>
    </w:r>
    <w:proofErr w:type="spellEnd"/>
    <w:r>
      <w:rPr>
        <w:rFonts w:ascii="Arial" w:hAnsi="Arial" w:cs="Arial"/>
        <w:sz w:val="14"/>
      </w:rPr>
      <w:t xml:space="preserve"> </w:t>
    </w:r>
    <w:r>
      <w:rPr>
        <w:rFonts w:ascii="Arial" w:hAnsi="Arial" w:cs="Arial"/>
        <w:sz w:val="14"/>
      </w:rPr>
      <w:fldChar w:fldCharType="begin"/>
    </w:r>
    <w:r>
      <w:rPr>
        <w:rFonts w:ascii="Arial" w:hAnsi="Arial" w:cs="Arial"/>
        <w:sz w:val="14"/>
      </w:rPr>
      <w:instrText>NUMPAGES</w:instrText>
    </w:r>
    <w:r>
      <w:rPr>
        <w:rFonts w:ascii="Arial" w:hAnsi="Arial" w:cs="Arial"/>
        <w:sz w:val="14"/>
      </w:rPr>
      <w:fldChar w:fldCharType="separate"/>
    </w:r>
    <w:r>
      <w:rPr>
        <w:rFonts w:ascii="Arial" w:hAnsi="Arial" w:cs="Arial"/>
        <w:sz w:val="14"/>
      </w:rPr>
      <w:t>26</w:t>
    </w:r>
    <w:r>
      <w:rPr>
        <w:rFonts w:ascii="Arial" w:hAnsi="Arial" w:cs="Aria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643B" w14:textId="77777777" w:rsidR="00DF5486" w:rsidRDefault="0005652B">
    <w:pPr>
      <w:tabs>
        <w:tab w:val="center" w:pos="3969"/>
        <w:tab w:val="right" w:pos="8789"/>
      </w:tabs>
      <w:spacing w:after="0" w:line="240" w:lineRule="auto"/>
      <w:jc w:val="right"/>
      <w:rPr>
        <w:rFonts w:ascii="Arial" w:hAnsi="Arial" w:cs="Arial"/>
        <w:sz w:val="14"/>
        <w:lang w:val="fr-FR"/>
      </w:rPr>
    </w:pPr>
    <w:r>
      <w:rPr>
        <w:rFonts w:ascii="Arial" w:hAnsi="Arial" w:cs="Arial"/>
        <w:sz w:val="14"/>
      </w:rPr>
      <w:t xml:space="preserve">Page </w:t>
    </w:r>
    <w:r>
      <w:rPr>
        <w:rFonts w:ascii="Arial" w:hAnsi="Arial" w:cs="Arial"/>
        <w:sz w:val="14"/>
      </w:rPr>
      <w:fldChar w:fldCharType="begin"/>
    </w:r>
    <w:r>
      <w:rPr>
        <w:rFonts w:ascii="Arial" w:hAnsi="Arial" w:cs="Arial"/>
        <w:sz w:val="14"/>
      </w:rPr>
      <w:instrText>PAGE</w:instrText>
    </w:r>
    <w:r>
      <w:rPr>
        <w:rFonts w:ascii="Arial" w:hAnsi="Arial" w:cs="Arial"/>
        <w:sz w:val="14"/>
      </w:rPr>
      <w:fldChar w:fldCharType="separate"/>
    </w:r>
    <w:r>
      <w:rPr>
        <w:rFonts w:ascii="Arial" w:hAnsi="Arial" w:cs="Arial"/>
        <w:sz w:val="14"/>
      </w:rPr>
      <w:t>26</w:t>
    </w:r>
    <w:r>
      <w:rPr>
        <w:rFonts w:ascii="Arial" w:hAnsi="Arial" w:cs="Arial"/>
        <w:sz w:val="14"/>
      </w:rPr>
      <w:fldChar w:fldCharType="end"/>
    </w:r>
    <w:r>
      <w:rPr>
        <w:rFonts w:ascii="Arial" w:hAnsi="Arial" w:cs="Arial"/>
        <w:sz w:val="14"/>
      </w:rPr>
      <w:t xml:space="preserve"> </w:t>
    </w:r>
    <w:proofErr w:type="spellStart"/>
    <w:r>
      <w:rPr>
        <w:rFonts w:ascii="Arial" w:hAnsi="Arial" w:cs="Arial"/>
        <w:sz w:val="14"/>
      </w:rPr>
      <w:t>from</w:t>
    </w:r>
    <w:proofErr w:type="spellEnd"/>
    <w:r>
      <w:rPr>
        <w:rFonts w:ascii="Arial" w:hAnsi="Arial" w:cs="Arial"/>
        <w:sz w:val="14"/>
      </w:rPr>
      <w:t xml:space="preserve"> </w:t>
    </w:r>
    <w:r>
      <w:rPr>
        <w:rFonts w:ascii="Arial" w:hAnsi="Arial" w:cs="Arial"/>
        <w:sz w:val="14"/>
      </w:rPr>
      <w:fldChar w:fldCharType="begin"/>
    </w:r>
    <w:r>
      <w:rPr>
        <w:rFonts w:ascii="Arial" w:hAnsi="Arial" w:cs="Arial"/>
        <w:sz w:val="14"/>
      </w:rPr>
      <w:instrText>NUMPAGES</w:instrText>
    </w:r>
    <w:r>
      <w:rPr>
        <w:rFonts w:ascii="Arial" w:hAnsi="Arial" w:cs="Arial"/>
        <w:sz w:val="14"/>
      </w:rPr>
      <w:fldChar w:fldCharType="separate"/>
    </w:r>
    <w:r>
      <w:rPr>
        <w:rFonts w:ascii="Arial" w:hAnsi="Arial" w:cs="Arial"/>
        <w:sz w:val="14"/>
      </w:rPr>
      <w:t>26</w:t>
    </w:r>
    <w:r>
      <w:rPr>
        <w:rFonts w:ascii="Arial" w:hAnsi="Arial"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1A10" w14:textId="77777777" w:rsidR="0017413E" w:rsidRDefault="0017413E">
      <w:pPr>
        <w:rPr>
          <w:sz w:val="12"/>
        </w:rPr>
      </w:pPr>
      <w:r>
        <w:separator/>
      </w:r>
    </w:p>
  </w:footnote>
  <w:footnote w:type="continuationSeparator" w:id="0">
    <w:p w14:paraId="1D630F8F" w14:textId="77777777" w:rsidR="0017413E" w:rsidRDefault="0017413E">
      <w:pPr>
        <w:rPr>
          <w:sz w:val="12"/>
        </w:rPr>
      </w:pPr>
      <w:r>
        <w:continuationSeparator/>
      </w:r>
    </w:p>
  </w:footnote>
  <w:footnote w:id="1">
    <w:p w14:paraId="11A7A6DE" w14:textId="77777777" w:rsidR="00A658F4" w:rsidRDefault="00A658F4" w:rsidP="00A658F4">
      <w:pPr>
        <w:pStyle w:val="Textonotapie"/>
        <w:rPr>
          <w:lang w:val="en-GB"/>
        </w:rPr>
      </w:pPr>
      <w:r>
        <w:rPr>
          <w:rStyle w:val="Caracteresdenotaalpie"/>
        </w:rPr>
        <w:footnoteRef/>
      </w:r>
      <w:r>
        <w:rPr>
          <w:lang w:val="en-GB"/>
        </w:rPr>
        <w:t xml:space="preserve"> Article 24.1 GDPR: </w:t>
      </w:r>
      <w:r>
        <w:rPr>
          <w:i/>
          <w:iCs/>
          <w:lang w:val="en-GB"/>
        </w:rPr>
        <w:t>"</w:t>
      </w:r>
      <w:proofErr w:type="gramStart"/>
      <w:r>
        <w:rPr>
          <w:i/>
          <w:iCs/>
          <w:lang w:val="en-GB"/>
        </w:rPr>
        <w:t>Taking into account</w:t>
      </w:r>
      <w:proofErr w:type="gramEnd"/>
      <w:r>
        <w:rPr>
          <w:i/>
          <w:iCs/>
          <w:lang w:val="en-GB"/>
        </w:rPr>
        <w:t xml:space="preserve"> the nature, scope, context and purposes of the processing, as well as risks of varying likelihood and likelihood and severity to the rights and freedoms of natural persons, the controller shall implement appropriate technical and organisational measures in order to ensure and be able to demonstrate that the processing is in compliance with this Regulation. Such measures shall be reviewed and updated whenever necessary."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1168" w:type="dxa"/>
      <w:tblLayout w:type="fixed"/>
      <w:tblLook w:val="04A0" w:firstRow="1" w:lastRow="0" w:firstColumn="1" w:lastColumn="0" w:noHBand="0" w:noVBand="1"/>
    </w:tblPr>
    <w:tblGrid>
      <w:gridCol w:w="5634"/>
      <w:gridCol w:w="4856"/>
    </w:tblGrid>
    <w:tr w:rsidR="00DF5486" w14:paraId="4296DCCE" w14:textId="77777777">
      <w:tc>
        <w:tcPr>
          <w:tcW w:w="5633" w:type="dxa"/>
        </w:tcPr>
        <w:p w14:paraId="407FBDED" w14:textId="77777777" w:rsidR="00DF5486" w:rsidRDefault="0005652B">
          <w:pPr>
            <w:pStyle w:val="Encabezado"/>
            <w:widowControl w:val="0"/>
            <w:rPr>
              <w:lang w:val="en-GB"/>
            </w:rPr>
          </w:pPr>
          <w:r>
            <w:rPr>
              <w:noProof/>
              <w:lang w:val="en-GB"/>
            </w:rPr>
            <w:drawing>
              <wp:anchor distT="0" distB="0" distL="0" distR="0" simplePos="0" relativeHeight="4" behindDoc="1" locked="0" layoutInCell="1" allowOverlap="1" wp14:anchorId="4ABABE5A" wp14:editId="79255543">
                <wp:simplePos x="0" y="0"/>
                <wp:positionH relativeFrom="column">
                  <wp:posOffset>202565</wp:posOffset>
                </wp:positionH>
                <wp:positionV relativeFrom="paragraph">
                  <wp:posOffset>-170815</wp:posOffset>
                </wp:positionV>
                <wp:extent cx="2564765" cy="615315"/>
                <wp:effectExtent l="0" t="0" r="0" b="0"/>
                <wp:wrapNone/>
                <wp:docPr id="1" name="Imagen 2" descr="AEPD_log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AEPD_logoP"/>
                        <pic:cNvPicPr>
                          <a:picLocks noChangeAspect="1" noChangeArrowheads="1"/>
                        </pic:cNvPicPr>
                      </pic:nvPicPr>
                      <pic:blipFill>
                        <a:blip r:embed="rId1"/>
                        <a:stretch>
                          <a:fillRect/>
                        </a:stretch>
                      </pic:blipFill>
                      <pic:spPr bwMode="auto">
                        <a:xfrm>
                          <a:off x="0" y="0"/>
                          <a:ext cx="2564765" cy="615315"/>
                        </a:xfrm>
                        <a:prstGeom prst="rect">
                          <a:avLst/>
                        </a:prstGeom>
                      </pic:spPr>
                    </pic:pic>
                  </a:graphicData>
                </a:graphic>
              </wp:anchor>
            </w:drawing>
          </w:r>
        </w:p>
      </w:tc>
      <w:tc>
        <w:tcPr>
          <w:tcW w:w="4856" w:type="dxa"/>
        </w:tcPr>
        <w:p w14:paraId="7FA5FC5E" w14:textId="77777777" w:rsidR="00DF5486" w:rsidRDefault="0005652B">
          <w:pPr>
            <w:widowControl w:val="0"/>
            <w:spacing w:after="0" w:line="240" w:lineRule="auto"/>
            <w:ind w:right="-6" w:firstLine="357"/>
            <w:jc w:val="right"/>
            <w:rPr>
              <w:rFonts w:ascii="Source Sans Pro SemiBold" w:hAnsi="Source Sans Pro SemiBold"/>
              <w:lang w:val="en-GB"/>
            </w:rPr>
          </w:pPr>
          <w:r>
            <w:rPr>
              <w:rFonts w:ascii="Source Sans Pro SemiBold" w:hAnsi="Source Sans Pro SemiBold"/>
              <w:lang w:val="en-GB"/>
            </w:rPr>
            <w:t>Innovation and Technology Division</w:t>
          </w:r>
        </w:p>
        <w:p w14:paraId="1DCFA919" w14:textId="77777777" w:rsidR="00DF5486" w:rsidRDefault="00DF5486">
          <w:pPr>
            <w:pStyle w:val="Encabezado"/>
            <w:widowControl w:val="0"/>
            <w:spacing w:after="0" w:line="240" w:lineRule="auto"/>
            <w:jc w:val="right"/>
            <w:rPr>
              <w:lang w:val="en-GB"/>
            </w:rPr>
          </w:pPr>
        </w:p>
      </w:tc>
    </w:tr>
  </w:tbl>
  <w:p w14:paraId="30A19192" w14:textId="77777777" w:rsidR="00DF5486" w:rsidRDefault="00DF5486">
    <w:pPr>
      <w:pStyle w:val="Encabezado"/>
      <w:spacing w:after="120"/>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1168" w:type="dxa"/>
      <w:tblLayout w:type="fixed"/>
      <w:tblLook w:val="04A0" w:firstRow="1" w:lastRow="0" w:firstColumn="1" w:lastColumn="0" w:noHBand="0" w:noVBand="1"/>
    </w:tblPr>
    <w:tblGrid>
      <w:gridCol w:w="5634"/>
      <w:gridCol w:w="4856"/>
    </w:tblGrid>
    <w:tr w:rsidR="00DF5486" w14:paraId="7FE6D334" w14:textId="77777777">
      <w:tc>
        <w:tcPr>
          <w:tcW w:w="5633" w:type="dxa"/>
        </w:tcPr>
        <w:p w14:paraId="6776D3D7" w14:textId="77777777" w:rsidR="00DF5486" w:rsidRDefault="0005652B">
          <w:pPr>
            <w:pStyle w:val="Encabezado"/>
            <w:widowControl w:val="0"/>
          </w:pPr>
          <w:r>
            <w:rPr>
              <w:noProof/>
            </w:rPr>
            <w:drawing>
              <wp:anchor distT="0" distB="0" distL="0" distR="0" simplePos="0" relativeHeight="27" behindDoc="1" locked="0" layoutInCell="1" allowOverlap="1" wp14:anchorId="2844F1FD" wp14:editId="78043A1E">
                <wp:simplePos x="0" y="0"/>
                <wp:positionH relativeFrom="column">
                  <wp:posOffset>202565</wp:posOffset>
                </wp:positionH>
                <wp:positionV relativeFrom="paragraph">
                  <wp:posOffset>-170815</wp:posOffset>
                </wp:positionV>
                <wp:extent cx="2564765" cy="615315"/>
                <wp:effectExtent l="0" t="0" r="0" b="0"/>
                <wp:wrapNone/>
                <wp:docPr id="2" name="Picture 2" descr="AEPD_log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EPD_logoP"/>
                        <pic:cNvPicPr>
                          <a:picLocks noChangeAspect="1" noChangeArrowheads="1"/>
                        </pic:cNvPicPr>
                      </pic:nvPicPr>
                      <pic:blipFill>
                        <a:blip r:embed="rId1"/>
                        <a:stretch>
                          <a:fillRect/>
                        </a:stretch>
                      </pic:blipFill>
                      <pic:spPr bwMode="auto">
                        <a:xfrm>
                          <a:off x="0" y="0"/>
                          <a:ext cx="2564765" cy="615315"/>
                        </a:xfrm>
                        <a:prstGeom prst="rect">
                          <a:avLst/>
                        </a:prstGeom>
                      </pic:spPr>
                    </pic:pic>
                  </a:graphicData>
                </a:graphic>
              </wp:anchor>
            </w:drawing>
          </w:r>
        </w:p>
      </w:tc>
      <w:tc>
        <w:tcPr>
          <w:tcW w:w="4856" w:type="dxa"/>
        </w:tcPr>
        <w:p w14:paraId="54A9D005" w14:textId="77777777" w:rsidR="00DF5486" w:rsidRDefault="0005652B">
          <w:pPr>
            <w:widowControl w:val="0"/>
            <w:spacing w:after="0" w:line="240" w:lineRule="auto"/>
            <w:ind w:right="-6" w:firstLine="357"/>
            <w:jc w:val="right"/>
            <w:rPr>
              <w:rFonts w:ascii="Source Sans Pro SemiBold" w:hAnsi="Source Sans Pro SemiBold"/>
            </w:rPr>
          </w:pPr>
          <w:proofErr w:type="spellStart"/>
          <w:r>
            <w:rPr>
              <w:rFonts w:ascii="Source Sans Pro SemiBold" w:hAnsi="Source Sans Pro SemiBold"/>
            </w:rPr>
            <w:t>Innovation</w:t>
          </w:r>
          <w:proofErr w:type="spellEnd"/>
          <w:r>
            <w:rPr>
              <w:rFonts w:ascii="Source Sans Pro SemiBold" w:hAnsi="Source Sans Pro SemiBold"/>
            </w:rPr>
            <w:t xml:space="preserve"> and </w:t>
          </w:r>
          <w:proofErr w:type="spellStart"/>
          <w:r>
            <w:rPr>
              <w:rFonts w:ascii="Source Sans Pro SemiBold" w:hAnsi="Source Sans Pro SemiBold"/>
            </w:rPr>
            <w:t>Technology</w:t>
          </w:r>
          <w:proofErr w:type="spellEnd"/>
          <w:r>
            <w:rPr>
              <w:rFonts w:ascii="Source Sans Pro SemiBold" w:hAnsi="Source Sans Pro SemiBold"/>
            </w:rPr>
            <w:t xml:space="preserve"> </w:t>
          </w:r>
          <w:proofErr w:type="spellStart"/>
          <w:r>
            <w:rPr>
              <w:rFonts w:ascii="Source Sans Pro SemiBold" w:hAnsi="Source Sans Pro SemiBold"/>
            </w:rPr>
            <w:t>Division</w:t>
          </w:r>
          <w:proofErr w:type="spellEnd"/>
        </w:p>
        <w:p w14:paraId="119E45C2" w14:textId="77777777" w:rsidR="00DF5486" w:rsidRDefault="00DF5486">
          <w:pPr>
            <w:pStyle w:val="Encabezado"/>
            <w:widowControl w:val="0"/>
            <w:spacing w:after="0" w:line="240" w:lineRule="auto"/>
            <w:jc w:val="right"/>
          </w:pPr>
        </w:p>
      </w:tc>
    </w:tr>
  </w:tbl>
  <w:p w14:paraId="554166C7" w14:textId="77777777" w:rsidR="00DF5486" w:rsidRDefault="00DF5486">
    <w:pPr>
      <w:pStyle w:val="Encabezado"/>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877"/>
    <w:multiLevelType w:val="multilevel"/>
    <w:tmpl w:val="8FECE9B4"/>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1" w15:restartNumberingAfterBreak="0">
    <w:nsid w:val="0E5E6E34"/>
    <w:multiLevelType w:val="multilevel"/>
    <w:tmpl w:val="3AAC3D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5EBF0E63"/>
    <w:multiLevelType w:val="multilevel"/>
    <w:tmpl w:val="2FB0BA20"/>
    <w:lvl w:ilvl="0">
      <w:start w:val="1"/>
      <w:numFmt w:val="decimal"/>
      <w:pStyle w:val="Ttulo2"/>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lowerLetter"/>
      <w:pStyle w:val="Ttulo4"/>
      <w:lvlText w:val="%4)"/>
      <w:lvlJc w:val="left"/>
      <w:pPr>
        <w:tabs>
          <w:tab w:val="num" w:pos="0"/>
        </w:tabs>
        <w:ind w:left="2160" w:firstLine="0"/>
      </w:pPr>
    </w:lvl>
    <w:lvl w:ilvl="4">
      <w:start w:val="1"/>
      <w:numFmt w:val="decimal"/>
      <w:pStyle w:val="Ttulo5"/>
      <w:lvlText w:val="(%5)"/>
      <w:lvlJc w:val="left"/>
      <w:pPr>
        <w:tabs>
          <w:tab w:val="num" w:pos="0"/>
        </w:tabs>
        <w:ind w:left="2880" w:firstLine="0"/>
      </w:pPr>
    </w:lvl>
    <w:lvl w:ilvl="5">
      <w:start w:val="1"/>
      <w:numFmt w:val="lowerLetter"/>
      <w:pStyle w:val="Ttulo6"/>
      <w:lvlText w:val="(%6)"/>
      <w:lvlJc w:val="left"/>
      <w:pPr>
        <w:tabs>
          <w:tab w:val="num" w:pos="0"/>
        </w:tabs>
        <w:ind w:left="3600" w:firstLine="0"/>
      </w:pPr>
    </w:lvl>
    <w:lvl w:ilvl="6">
      <w:start w:val="1"/>
      <w:numFmt w:val="lowerRoman"/>
      <w:pStyle w:val="Ttulo7"/>
      <w:lvlText w:val="(%7)"/>
      <w:lvlJc w:val="left"/>
      <w:pPr>
        <w:tabs>
          <w:tab w:val="num" w:pos="0"/>
        </w:tabs>
        <w:ind w:left="4320" w:firstLine="0"/>
      </w:pPr>
    </w:lvl>
    <w:lvl w:ilvl="7">
      <w:start w:val="1"/>
      <w:numFmt w:val="lowerLetter"/>
      <w:pStyle w:val="Ttulo8"/>
      <w:lvlText w:val="(%8)"/>
      <w:lvlJc w:val="left"/>
      <w:pPr>
        <w:tabs>
          <w:tab w:val="num" w:pos="0"/>
        </w:tabs>
        <w:ind w:left="5040" w:firstLine="0"/>
      </w:pPr>
    </w:lvl>
    <w:lvl w:ilvl="8">
      <w:start w:val="1"/>
      <w:numFmt w:val="lowerRoman"/>
      <w:pStyle w:val="Ttulo9"/>
      <w:lvlText w:val="(%9)"/>
      <w:lvlJc w:val="left"/>
      <w:pPr>
        <w:tabs>
          <w:tab w:val="num" w:pos="0"/>
        </w:tabs>
        <w:ind w:left="576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486"/>
    <w:rsid w:val="0005652B"/>
    <w:rsid w:val="000E189B"/>
    <w:rsid w:val="0017413E"/>
    <w:rsid w:val="005F4A90"/>
    <w:rsid w:val="00A658F4"/>
    <w:rsid w:val="00C1334D"/>
    <w:rsid w:val="00CD0BE3"/>
    <w:rsid w:val="00D71C2D"/>
    <w:rsid w:val="00DF5486"/>
  </w:rsids>
  <m:mathPr>
    <m:mathFont m:val="Cambria Math"/>
    <m:brkBin m:val="before"/>
    <m:brkBinSub m:val="--"/>
    <m:smallFrac m:val="0"/>
    <m:dispDef/>
    <m:lMargin m:val="0"/>
    <m:rMargin m:val="0"/>
    <m:defJc m:val="centerGroup"/>
    <m:wrapIndent m:val="1440"/>
    <m:intLim m:val="subSup"/>
    <m:naryLim m:val="undOvr"/>
  </m:mathPr>
  <w:themeFontLang w:val="es-E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6A02"/>
  <w15:docId w15:val="{147AE74F-D187-49DC-98AD-12836971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Ttulo1">
    <w:name w:val="heading 1"/>
    <w:basedOn w:val="Normal"/>
    <w:next w:val="Normal2"/>
    <w:link w:val="Ttulo1Car"/>
    <w:uiPriority w:val="9"/>
    <w:qFormat/>
    <w:rsid w:val="003F0E01"/>
    <w:pPr>
      <w:keepNext/>
      <w:tabs>
        <w:tab w:val="left" w:pos="0"/>
      </w:tabs>
      <w:spacing w:before="240" w:after="0" w:line="240" w:lineRule="auto"/>
      <w:ind w:left="720" w:hanging="360"/>
      <w:outlineLvl w:val="0"/>
    </w:pPr>
    <w:rPr>
      <w:rFonts w:ascii="Source Sans Pro SemiBold" w:eastAsiaTheme="majorEastAsia" w:hAnsi="Source Sans Pro SemiBold"/>
      <w:bCs/>
      <w:caps/>
      <w:color w:val="000000" w:themeColor="text1"/>
      <w:sz w:val="28"/>
      <w:szCs w:val="26"/>
      <w:lang w:val="es-ES_tradnl"/>
    </w:rPr>
  </w:style>
  <w:style w:type="paragraph" w:styleId="Ttulo2">
    <w:name w:val="heading 2"/>
    <w:basedOn w:val="Normal"/>
    <w:next w:val="Normal2"/>
    <w:link w:val="Ttulo2Car"/>
    <w:uiPriority w:val="9"/>
    <w:unhideWhenUsed/>
    <w:qFormat/>
    <w:rsid w:val="00B87198"/>
    <w:pPr>
      <w:keepNext/>
      <w:numPr>
        <w:numId w:val="1"/>
      </w:numPr>
      <w:spacing w:after="360"/>
      <w:ind w:left="0" w:hanging="357"/>
      <w:outlineLvl w:val="1"/>
    </w:pPr>
    <w:rPr>
      <w:rFonts w:ascii="Source Sans Pro" w:eastAsiaTheme="majorEastAsia" w:hAnsi="Source Sans Pro"/>
      <w:b/>
      <w:bCs/>
      <w:iCs/>
      <w:smallCaps/>
      <w:sz w:val="24"/>
      <w:szCs w:val="28"/>
    </w:rPr>
  </w:style>
  <w:style w:type="paragraph" w:styleId="Ttulo3">
    <w:name w:val="heading 3"/>
    <w:basedOn w:val="Normal2"/>
    <w:next w:val="Normal2"/>
    <w:link w:val="Ttulo3Car"/>
    <w:uiPriority w:val="9"/>
    <w:qFormat/>
    <w:rsid w:val="00773CAA"/>
    <w:pPr>
      <w:ind w:firstLine="0"/>
      <w:outlineLvl w:val="2"/>
    </w:pPr>
    <w:rPr>
      <w:sz w:val="20"/>
      <w:szCs w:val="20"/>
    </w:rPr>
  </w:style>
  <w:style w:type="paragraph" w:styleId="Ttulo4">
    <w:name w:val="heading 4"/>
    <w:basedOn w:val="Normal"/>
    <w:next w:val="Normal"/>
    <w:link w:val="Ttulo4Car"/>
    <w:uiPriority w:val="9"/>
    <w:unhideWhenUsed/>
    <w:qFormat/>
    <w:rsid w:val="00B62718"/>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933521"/>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5122FE"/>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5122FE"/>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5122F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122F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2Car">
    <w:name w:val="Normal2 Car"/>
    <w:link w:val="Normal2"/>
    <w:qFormat/>
    <w:locked/>
    <w:rsid w:val="00445609"/>
    <w:rPr>
      <w:rFonts w:ascii="Arial" w:hAnsi="Arial" w:cs="Arial"/>
      <w:sz w:val="22"/>
      <w:szCs w:val="22"/>
    </w:rPr>
  </w:style>
  <w:style w:type="character" w:customStyle="1" w:styleId="Ttulo1Car">
    <w:name w:val="Título 1 Car"/>
    <w:basedOn w:val="Fuentedeprrafopredeter"/>
    <w:link w:val="Ttulo1"/>
    <w:uiPriority w:val="9"/>
    <w:qFormat/>
    <w:locked/>
    <w:rsid w:val="003F0E01"/>
    <w:rPr>
      <w:rFonts w:ascii="Source Sans Pro SemiBold" w:eastAsiaTheme="majorEastAsia" w:hAnsi="Source Sans Pro SemiBold"/>
      <w:bCs/>
      <w:caps/>
      <w:color w:val="000000" w:themeColor="text1"/>
      <w:sz w:val="28"/>
      <w:szCs w:val="26"/>
      <w:lang w:val="es-ES_tradnl"/>
    </w:rPr>
  </w:style>
  <w:style w:type="character" w:customStyle="1" w:styleId="Ttulo2Car">
    <w:name w:val="Título 2 Car"/>
    <w:basedOn w:val="Fuentedeprrafopredeter"/>
    <w:link w:val="Ttulo2"/>
    <w:uiPriority w:val="9"/>
    <w:qFormat/>
    <w:locked/>
    <w:rsid w:val="00B87198"/>
    <w:rPr>
      <w:rFonts w:ascii="Source Sans Pro" w:eastAsiaTheme="majorEastAsia" w:hAnsi="Source Sans Pro"/>
      <w:b/>
      <w:bCs/>
      <w:iCs/>
      <w:smallCaps/>
      <w:sz w:val="24"/>
      <w:szCs w:val="28"/>
    </w:rPr>
  </w:style>
  <w:style w:type="character" w:customStyle="1" w:styleId="Ttulo3Car">
    <w:name w:val="Título 3 Car"/>
    <w:basedOn w:val="Fuentedeprrafopredeter"/>
    <w:link w:val="Ttulo3"/>
    <w:uiPriority w:val="9"/>
    <w:qFormat/>
    <w:locked/>
    <w:rsid w:val="00773CAA"/>
    <w:rPr>
      <w:rFonts w:ascii="Arial" w:hAnsi="Arial" w:cs="Arial"/>
    </w:rPr>
  </w:style>
  <w:style w:type="character" w:customStyle="1" w:styleId="Ttulo4Car">
    <w:name w:val="Título 4 Car"/>
    <w:basedOn w:val="Fuentedeprrafopredeter"/>
    <w:link w:val="Ttulo4"/>
    <w:uiPriority w:val="9"/>
    <w:qFormat/>
    <w:rsid w:val="00B62718"/>
    <w:rPr>
      <w:rFonts w:asciiTheme="majorHAnsi" w:eastAsiaTheme="majorEastAsia" w:hAnsiTheme="majorHAnsi" w:cstheme="majorBidi"/>
      <w:i/>
      <w:iCs/>
      <w:color w:val="365F91" w:themeColor="accent1" w:themeShade="BF"/>
      <w:sz w:val="22"/>
      <w:szCs w:val="22"/>
    </w:rPr>
  </w:style>
  <w:style w:type="character" w:customStyle="1" w:styleId="Ttulo5Car">
    <w:name w:val="Título 5 Car"/>
    <w:basedOn w:val="Fuentedeprrafopredeter"/>
    <w:link w:val="Ttulo5"/>
    <w:uiPriority w:val="9"/>
    <w:semiHidden/>
    <w:qFormat/>
    <w:rsid w:val="00933521"/>
    <w:rPr>
      <w:rFonts w:asciiTheme="majorHAnsi" w:eastAsiaTheme="majorEastAsia" w:hAnsiTheme="majorHAnsi" w:cstheme="majorBidi"/>
      <w:color w:val="365F91" w:themeColor="accent1" w:themeShade="BF"/>
      <w:sz w:val="22"/>
      <w:szCs w:val="22"/>
    </w:rPr>
  </w:style>
  <w:style w:type="character" w:customStyle="1" w:styleId="EncabezadoCar">
    <w:name w:val="Encabezado Car"/>
    <w:basedOn w:val="Fuentedeprrafopredeter"/>
    <w:link w:val="Encabezado"/>
    <w:uiPriority w:val="99"/>
    <w:qFormat/>
    <w:locked/>
    <w:rsid w:val="001E2202"/>
    <w:rPr>
      <w:rFonts w:cs="Times New Roman"/>
    </w:rPr>
  </w:style>
  <w:style w:type="character" w:customStyle="1" w:styleId="PiedepginaCar">
    <w:name w:val="Pie de página Car"/>
    <w:basedOn w:val="Fuentedeprrafopredeter"/>
    <w:link w:val="Piedepgina"/>
    <w:uiPriority w:val="99"/>
    <w:qFormat/>
    <w:locked/>
    <w:rsid w:val="001E2202"/>
    <w:rPr>
      <w:rFonts w:cs="Times New Roman"/>
    </w:rPr>
  </w:style>
  <w:style w:type="character" w:customStyle="1" w:styleId="EnlacedeInternet">
    <w:name w:val="Enlace de Internet"/>
    <w:basedOn w:val="Fuentedeprrafopredeter"/>
    <w:uiPriority w:val="99"/>
    <w:rsid w:val="00C4356A"/>
    <w:rPr>
      <w:color w:val="0000FF" w:themeColor="hyperlink"/>
      <w:u w:val="single"/>
    </w:rPr>
  </w:style>
  <w:style w:type="character" w:customStyle="1" w:styleId="TtuloCar">
    <w:name w:val="Título Car"/>
    <w:basedOn w:val="Fuentedeprrafopredeter"/>
    <w:link w:val="Ttulo10"/>
    <w:uiPriority w:val="10"/>
    <w:qFormat/>
    <w:locked/>
    <w:rsid w:val="00393921"/>
    <w:rPr>
      <w:rFonts w:ascii="Source Sans Pro" w:hAnsi="Source Sans Pro" w:cs="Arial"/>
      <w:b/>
      <w:bCs/>
      <w:caps/>
      <w:sz w:val="36"/>
      <w:szCs w:val="22"/>
    </w:rPr>
  </w:style>
  <w:style w:type="character" w:customStyle="1" w:styleId="TextonotapieCar">
    <w:name w:val="Texto nota pie Car"/>
    <w:basedOn w:val="Fuentedeprrafopredeter"/>
    <w:link w:val="Textonotapie"/>
    <w:uiPriority w:val="99"/>
    <w:qFormat/>
    <w:locked/>
    <w:rsid w:val="00C87619"/>
    <w:rPr>
      <w:rFonts w:ascii="Arial Narrow" w:hAnsi="Arial Narrow"/>
      <w:sz w:val="18"/>
    </w:rPr>
  </w:style>
  <w:style w:type="character" w:customStyle="1" w:styleId="Ancladenotaalpie">
    <w:name w:val="Ancla de nota al pie"/>
    <w:rPr>
      <w:rFonts w:cs="Times New Roman"/>
      <w:vertAlign w:val="superscript"/>
    </w:rPr>
  </w:style>
  <w:style w:type="character" w:customStyle="1" w:styleId="FootnoteCharacters">
    <w:name w:val="Footnote Characters"/>
    <w:basedOn w:val="Fuentedeprrafopredeter"/>
    <w:link w:val="FootnotesymbolCarZchn"/>
    <w:uiPriority w:val="99"/>
    <w:unhideWhenUsed/>
    <w:qFormat/>
    <w:rsid w:val="00FB0E03"/>
    <w:rPr>
      <w:rFonts w:cs="Times New Roman"/>
      <w:vertAlign w:val="superscript"/>
    </w:rPr>
  </w:style>
  <w:style w:type="character" w:styleId="Textoennegrita">
    <w:name w:val="Strong"/>
    <w:basedOn w:val="Fuentedeprrafopredeter"/>
    <w:uiPriority w:val="22"/>
    <w:qFormat/>
    <w:rsid w:val="00EB11B6"/>
    <w:rPr>
      <w:rFonts w:cs="Times New Roman"/>
      <w:b/>
    </w:rPr>
  </w:style>
  <w:style w:type="character" w:customStyle="1" w:styleId="Destacado">
    <w:name w:val="Destacado"/>
    <w:basedOn w:val="Fuentedeprrafopredeter"/>
    <w:uiPriority w:val="20"/>
    <w:qFormat/>
    <w:rsid w:val="00EB11B6"/>
    <w:rPr>
      <w:rFonts w:cs="Times New Roman"/>
      <w:i/>
    </w:rPr>
  </w:style>
  <w:style w:type="character" w:customStyle="1" w:styleId="CitaCar">
    <w:name w:val="Cita Car"/>
    <w:basedOn w:val="Fuentedeprrafopredeter"/>
    <w:link w:val="Cita"/>
    <w:uiPriority w:val="29"/>
    <w:qFormat/>
    <w:locked/>
    <w:rsid w:val="00B359C6"/>
    <w:rPr>
      <w:rFonts w:ascii="Source Sans Pro" w:hAnsi="Source Sans Pro" w:cs="Arial"/>
      <w:i/>
      <w:sz w:val="22"/>
      <w:szCs w:val="22"/>
    </w:rPr>
  </w:style>
  <w:style w:type="character" w:customStyle="1" w:styleId="FiguraCar">
    <w:name w:val="Figura Car"/>
    <w:basedOn w:val="Normal2Car"/>
    <w:link w:val="Figura"/>
    <w:qFormat/>
    <w:locked/>
    <w:rsid w:val="00FA2549"/>
    <w:rPr>
      <w:rFonts w:ascii="Source Sans Pro" w:hAnsi="Source Sans Pro" w:cs="Arial"/>
      <w:sz w:val="22"/>
      <w:szCs w:val="22"/>
    </w:rPr>
  </w:style>
  <w:style w:type="character" w:customStyle="1" w:styleId="PieCar">
    <w:name w:val="Pie Car"/>
    <w:basedOn w:val="Normal2Car"/>
    <w:link w:val="Pie"/>
    <w:qFormat/>
    <w:locked/>
    <w:rsid w:val="00B359C6"/>
    <w:rPr>
      <w:rFonts w:ascii="Source Sans Pro" w:hAnsi="Source Sans Pro" w:cs="Arial"/>
      <w:sz w:val="22"/>
      <w:szCs w:val="22"/>
    </w:rPr>
  </w:style>
  <w:style w:type="character" w:customStyle="1" w:styleId="Topo1Car">
    <w:name w:val="Topo1 Car"/>
    <w:basedOn w:val="Normal2Car"/>
    <w:link w:val="Topo1"/>
    <w:qFormat/>
    <w:locked/>
    <w:rsid w:val="00A9498D"/>
    <w:rPr>
      <w:rFonts w:ascii="Arial" w:hAnsi="Arial" w:cs="Arial"/>
      <w:sz w:val="22"/>
      <w:szCs w:val="22"/>
    </w:rPr>
  </w:style>
  <w:style w:type="character" w:customStyle="1" w:styleId="high">
    <w:name w:val="high"/>
    <w:qFormat/>
    <w:rsid w:val="00D255DC"/>
  </w:style>
  <w:style w:type="character" w:customStyle="1" w:styleId="cap">
    <w:name w:val="cap"/>
    <w:qFormat/>
    <w:rsid w:val="00D255DC"/>
  </w:style>
  <w:style w:type="character" w:customStyle="1" w:styleId="HTMLconformatoprevioCar">
    <w:name w:val="HTML con formato previo Car"/>
    <w:basedOn w:val="Fuentedeprrafopredeter"/>
    <w:link w:val="HTMLconformatoprevio"/>
    <w:uiPriority w:val="99"/>
    <w:qFormat/>
    <w:rsid w:val="00E639B5"/>
    <w:rPr>
      <w:rFonts w:ascii="Courier New" w:hAnsi="Courier New" w:cs="Courier New"/>
    </w:rPr>
  </w:style>
  <w:style w:type="character" w:customStyle="1" w:styleId="EjemploCar">
    <w:name w:val="Ejemplo Car"/>
    <w:basedOn w:val="Topo1Car"/>
    <w:link w:val="Ejemplo"/>
    <w:qFormat/>
    <w:rsid w:val="00832BB4"/>
    <w:rPr>
      <w:rFonts w:ascii="Source Sans Pro" w:hAnsi="Source Sans Pro" w:cs="Arial"/>
      <w:sz w:val="24"/>
      <w:szCs w:val="22"/>
    </w:rPr>
  </w:style>
  <w:style w:type="character" w:styleId="Textodelmarcadordeposicin">
    <w:name w:val="Placeholder Text"/>
    <w:basedOn w:val="Fuentedeprrafopredeter"/>
    <w:uiPriority w:val="99"/>
    <w:semiHidden/>
    <w:qFormat/>
    <w:rsid w:val="0017151A"/>
    <w:rPr>
      <w:color w:val="808080"/>
    </w:rPr>
  </w:style>
  <w:style w:type="character" w:customStyle="1" w:styleId="LISTAPANTALLACar">
    <w:name w:val="LISTA_PANTALLA Car"/>
    <w:basedOn w:val="Fuentedeprrafopredeter"/>
    <w:link w:val="LISTAPANTALLA"/>
    <w:qFormat/>
    <w:rsid w:val="00C739E7"/>
    <w:rPr>
      <w:rFonts w:ascii="Arial" w:hAnsi="Arial" w:cs="Arial"/>
      <w:b/>
      <w:color w:val="981418"/>
      <w:sz w:val="24"/>
      <w:szCs w:val="24"/>
    </w:rPr>
  </w:style>
  <w:style w:type="character" w:customStyle="1" w:styleId="Tabla1Car">
    <w:name w:val="Tabla1 Car"/>
    <w:basedOn w:val="Normal2Car"/>
    <w:link w:val="Tabla1"/>
    <w:qFormat/>
    <w:rsid w:val="00BB5AF4"/>
    <w:rPr>
      <w:rFonts w:ascii="Source Sans Pro" w:eastAsiaTheme="majorEastAsia" w:hAnsi="Source Sans Pro" w:cs="Arial"/>
      <w:sz w:val="22"/>
      <w:szCs w:val="22"/>
    </w:rPr>
  </w:style>
  <w:style w:type="character" w:customStyle="1" w:styleId="EnlacedeInternetvisitado">
    <w:name w:val="Enlace de Internet visitado"/>
    <w:basedOn w:val="Fuentedeprrafopredeter"/>
    <w:uiPriority w:val="99"/>
    <w:rsid w:val="00397659"/>
    <w:rPr>
      <w:color w:val="800080" w:themeColor="followedHyperlink"/>
      <w:u w:val="single"/>
    </w:rPr>
  </w:style>
  <w:style w:type="character" w:customStyle="1" w:styleId="TextodegloboCar">
    <w:name w:val="Texto de globo Car"/>
    <w:basedOn w:val="Fuentedeprrafopredeter"/>
    <w:link w:val="Textodeglobo"/>
    <w:uiPriority w:val="99"/>
    <w:semiHidden/>
    <w:qFormat/>
    <w:rsid w:val="00DA7386"/>
    <w:rPr>
      <w:rFonts w:ascii="Segoe UI" w:hAnsi="Segoe UI" w:cs="Segoe UI"/>
      <w:sz w:val="18"/>
      <w:szCs w:val="18"/>
    </w:rPr>
  </w:style>
  <w:style w:type="character" w:customStyle="1" w:styleId="TextocomentarioCar">
    <w:name w:val="Texto comentario Car"/>
    <w:basedOn w:val="Fuentedeprrafopredeter"/>
    <w:link w:val="Textocomentario"/>
    <w:uiPriority w:val="99"/>
    <w:qFormat/>
    <w:rsid w:val="00B62718"/>
    <w:rPr>
      <w:rFonts w:ascii="Calibri" w:eastAsia="Calibri" w:hAnsi="Calibri" w:cs="Calibri"/>
      <w:color w:val="000000"/>
    </w:rPr>
  </w:style>
  <w:style w:type="character" w:customStyle="1" w:styleId="BorradorCar">
    <w:name w:val="Borrador Car"/>
    <w:basedOn w:val="Normal2Car"/>
    <w:link w:val="Borrador"/>
    <w:qFormat/>
    <w:rsid w:val="00670E06"/>
    <w:rPr>
      <w:rFonts w:ascii="Arial" w:hAnsi="Arial" w:cs="Arial"/>
      <w:sz w:val="18"/>
      <w:szCs w:val="22"/>
    </w:rPr>
  </w:style>
  <w:style w:type="character" w:customStyle="1" w:styleId="mwe-math-mathml-inline">
    <w:name w:val="mwe-math-mathml-inline"/>
    <w:basedOn w:val="Fuentedeprrafopredeter"/>
    <w:qFormat/>
    <w:rsid w:val="00B62718"/>
  </w:style>
  <w:style w:type="character" w:customStyle="1" w:styleId="tocnumber">
    <w:name w:val="tocnumber"/>
    <w:basedOn w:val="Fuentedeprrafopredeter"/>
    <w:qFormat/>
    <w:rsid w:val="00B62718"/>
  </w:style>
  <w:style w:type="character" w:customStyle="1" w:styleId="toctext">
    <w:name w:val="toctext"/>
    <w:basedOn w:val="Fuentedeprrafopredeter"/>
    <w:qFormat/>
    <w:rsid w:val="00B62718"/>
  </w:style>
  <w:style w:type="character" w:customStyle="1" w:styleId="footnotedescriptionChar">
    <w:name w:val="footnote description Char"/>
    <w:qFormat/>
    <w:rsid w:val="00B62718"/>
    <w:rPr>
      <w:rFonts w:ascii="Calibri" w:eastAsia="Calibri" w:hAnsi="Calibri" w:cs="Calibri"/>
      <w:color w:val="000000"/>
      <w:sz w:val="12"/>
      <w:szCs w:val="22"/>
    </w:rPr>
  </w:style>
  <w:style w:type="character" w:customStyle="1" w:styleId="footnotemark">
    <w:name w:val="footnote mark"/>
    <w:qFormat/>
    <w:rsid w:val="00B62718"/>
    <w:rPr>
      <w:rFonts w:ascii="Calibri" w:eastAsia="Calibri" w:hAnsi="Calibri" w:cs="Calibri"/>
      <w:b/>
      <w:color w:val="E30513"/>
      <w:sz w:val="12"/>
      <w:vertAlign w:val="superscript"/>
    </w:rPr>
  </w:style>
  <w:style w:type="character" w:customStyle="1" w:styleId="ArticuladoCar">
    <w:name w:val="Articulado Car"/>
    <w:basedOn w:val="Ttulo2Car"/>
    <w:link w:val="Articulado"/>
    <w:qFormat/>
    <w:rsid w:val="00DF4322"/>
    <w:rPr>
      <w:rFonts w:ascii="Arial Narrow" w:eastAsiaTheme="majorEastAsia" w:hAnsi="Arial Narrow" w:cs="Times New Roman"/>
      <w:b w:val="0"/>
      <w:bCs/>
      <w:i/>
      <w:iCs w:val="0"/>
      <w:smallCaps/>
      <w:sz w:val="18"/>
      <w:szCs w:val="22"/>
    </w:rPr>
  </w:style>
  <w:style w:type="character" w:styleId="Refdecomentario">
    <w:name w:val="annotation reference"/>
    <w:basedOn w:val="Fuentedeprrafopredeter"/>
    <w:uiPriority w:val="99"/>
    <w:unhideWhenUsed/>
    <w:qFormat/>
    <w:rsid w:val="00E84B3E"/>
    <w:rPr>
      <w:sz w:val="16"/>
      <w:szCs w:val="16"/>
    </w:rPr>
  </w:style>
  <w:style w:type="character" w:customStyle="1" w:styleId="Mencinsinresolver1">
    <w:name w:val="Mención sin resolver1"/>
    <w:basedOn w:val="Fuentedeprrafopredeter"/>
    <w:uiPriority w:val="99"/>
    <w:semiHidden/>
    <w:unhideWhenUsed/>
    <w:qFormat/>
    <w:rsid w:val="006F3B97"/>
    <w:rPr>
      <w:color w:val="605E5C"/>
      <w:shd w:val="clear" w:color="auto" w:fill="E1DFDD"/>
    </w:rPr>
  </w:style>
  <w:style w:type="character" w:customStyle="1" w:styleId="title-text">
    <w:name w:val="title-text"/>
    <w:basedOn w:val="Fuentedeprrafopredeter"/>
    <w:qFormat/>
    <w:rsid w:val="00C45AE1"/>
  </w:style>
  <w:style w:type="character" w:customStyle="1" w:styleId="AsuntodelcomentarioCar">
    <w:name w:val="Asunto del comentario Car"/>
    <w:basedOn w:val="TextocomentarioCar"/>
    <w:link w:val="Asuntodelcomentario"/>
    <w:uiPriority w:val="99"/>
    <w:qFormat/>
    <w:rsid w:val="00327AE6"/>
    <w:rPr>
      <w:rFonts w:ascii="Calibri" w:eastAsia="Calibri" w:hAnsi="Calibri" w:cs="Calibri"/>
      <w:b/>
      <w:bCs/>
      <w:color w:val="000000"/>
    </w:rPr>
  </w:style>
  <w:style w:type="character" w:customStyle="1" w:styleId="A0">
    <w:name w:val="A0"/>
    <w:uiPriority w:val="99"/>
    <w:qFormat/>
    <w:rsid w:val="00401935"/>
    <w:rPr>
      <w:rFonts w:cs="Avenir Heavy"/>
      <w:b/>
      <w:bCs/>
      <w:color w:val="000000"/>
      <w:sz w:val="72"/>
      <w:szCs w:val="72"/>
    </w:rPr>
  </w:style>
  <w:style w:type="character" w:customStyle="1" w:styleId="date-display-single">
    <w:name w:val="date-display-single"/>
    <w:basedOn w:val="Fuentedeprrafopredeter"/>
    <w:qFormat/>
    <w:rsid w:val="002F54B0"/>
  </w:style>
  <w:style w:type="character" w:customStyle="1" w:styleId="Ttulo6Car">
    <w:name w:val="Título 6 Car"/>
    <w:basedOn w:val="Fuentedeprrafopredeter"/>
    <w:link w:val="Ttulo6"/>
    <w:uiPriority w:val="9"/>
    <w:semiHidden/>
    <w:qFormat/>
    <w:rsid w:val="005122FE"/>
    <w:rPr>
      <w:rFonts w:asciiTheme="majorHAnsi" w:eastAsiaTheme="majorEastAsia" w:hAnsiTheme="majorHAnsi" w:cstheme="majorBidi"/>
      <w:color w:val="243F60" w:themeColor="accent1" w:themeShade="7F"/>
      <w:sz w:val="22"/>
      <w:szCs w:val="22"/>
    </w:rPr>
  </w:style>
  <w:style w:type="character" w:customStyle="1" w:styleId="Ttulo7Car">
    <w:name w:val="Título 7 Car"/>
    <w:basedOn w:val="Fuentedeprrafopredeter"/>
    <w:link w:val="Ttulo7"/>
    <w:uiPriority w:val="9"/>
    <w:semiHidden/>
    <w:qFormat/>
    <w:rsid w:val="005122FE"/>
    <w:rPr>
      <w:rFonts w:asciiTheme="majorHAnsi" w:eastAsiaTheme="majorEastAsia" w:hAnsiTheme="majorHAnsi" w:cstheme="majorBidi"/>
      <w:i/>
      <w:iCs/>
      <w:color w:val="243F60" w:themeColor="accent1" w:themeShade="7F"/>
      <w:sz w:val="22"/>
      <w:szCs w:val="22"/>
    </w:rPr>
  </w:style>
  <w:style w:type="character" w:customStyle="1" w:styleId="Ttulo8Car">
    <w:name w:val="Título 8 Car"/>
    <w:basedOn w:val="Fuentedeprrafopredeter"/>
    <w:link w:val="Ttulo8"/>
    <w:uiPriority w:val="9"/>
    <w:semiHidden/>
    <w:qFormat/>
    <w:rsid w:val="005122FE"/>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qFormat/>
    <w:rsid w:val="005122FE"/>
    <w:rPr>
      <w:rFonts w:asciiTheme="majorHAnsi" w:eastAsiaTheme="majorEastAsia" w:hAnsiTheme="majorHAnsi" w:cstheme="majorBidi"/>
      <w:i/>
      <w:iCs/>
      <w:color w:val="272727" w:themeColor="text1" w:themeTint="D8"/>
      <w:sz w:val="21"/>
      <w:szCs w:val="21"/>
    </w:rPr>
  </w:style>
  <w:style w:type="character" w:customStyle="1" w:styleId="PrrafodelistaCar">
    <w:name w:val="Párrafo de lista Car"/>
    <w:basedOn w:val="Fuentedeprrafopredeter"/>
    <w:link w:val="Prrafodelista"/>
    <w:uiPriority w:val="34"/>
    <w:qFormat/>
    <w:rsid w:val="00AA529D"/>
    <w:rPr>
      <w:rFonts w:ascii="Calibri" w:eastAsia="Calibri" w:hAnsi="Calibri"/>
      <w:sz w:val="22"/>
      <w:szCs w:val="22"/>
      <w:lang w:eastAsia="en-US"/>
    </w:rPr>
  </w:style>
  <w:style w:type="character" w:customStyle="1" w:styleId="TEXTOChar">
    <w:name w:val="TEXTO Char"/>
    <w:basedOn w:val="Fuentedeprrafopredeter"/>
    <w:link w:val="TEXTO"/>
    <w:qFormat/>
    <w:locked/>
    <w:rsid w:val="00DA12AB"/>
    <w:rPr>
      <w:rFonts w:ascii="Arial" w:hAnsi="Arial"/>
    </w:rPr>
  </w:style>
  <w:style w:type="character" w:customStyle="1" w:styleId="BankiaNormalCar">
    <w:name w:val="Bankia Normal Car"/>
    <w:link w:val="BankiaNormal"/>
    <w:qFormat/>
    <w:locked/>
    <w:rsid w:val="00DA12AB"/>
    <w:rPr>
      <w:rFonts w:ascii="Bankia" w:hAnsi="Bankia" w:cs="Arial"/>
      <w:lang w:val="es-ES_tradnl" w:eastAsia="ja-JP"/>
    </w:rPr>
  </w:style>
  <w:style w:type="character" w:customStyle="1" w:styleId="NormalArial11Car">
    <w:name w:val="Normal Arial 11 Car"/>
    <w:basedOn w:val="Fuentedeprrafopredeter"/>
    <w:link w:val="NormalArial11"/>
    <w:qFormat/>
    <w:rsid w:val="00DA12AB"/>
    <w:rPr>
      <w:rFonts w:ascii="Calibri" w:hAnsi="Calibri" w:cs="Arial"/>
      <w:sz w:val="22"/>
      <w:lang w:val="es-ES_tradnl"/>
    </w:rPr>
  </w:style>
  <w:style w:type="character" w:customStyle="1" w:styleId="NotaCar">
    <w:name w:val="Nota Car"/>
    <w:qFormat/>
    <w:locked/>
    <w:rsid w:val="003A2E3E"/>
    <w:rPr>
      <w:rFonts w:ascii="Source Sans Pro" w:hAnsi="Source Sans Pro"/>
      <w:sz w:val="22"/>
      <w:shd w:val="clear" w:color="auto" w:fill="FFC000"/>
      <w:lang w:val="es-ES_tradnl"/>
    </w:rPr>
  </w:style>
  <w:style w:type="character" w:customStyle="1" w:styleId="Topo2Car">
    <w:name w:val="Topo2 Car"/>
    <w:basedOn w:val="Topo1Car"/>
    <w:link w:val="Topo2"/>
    <w:qFormat/>
    <w:rsid w:val="001E40DD"/>
    <w:rPr>
      <w:rFonts w:ascii="Arial" w:hAnsi="Arial" w:cs="Arial"/>
      <w:sz w:val="22"/>
      <w:szCs w:val="22"/>
    </w:rPr>
  </w:style>
  <w:style w:type="character" w:customStyle="1" w:styleId="TextoindependienteCar">
    <w:name w:val="Texto independiente Car"/>
    <w:basedOn w:val="Fuentedeprrafopredeter"/>
    <w:link w:val="Textoindependiente"/>
    <w:uiPriority w:val="1"/>
    <w:qFormat/>
    <w:rsid w:val="009451A0"/>
    <w:rPr>
      <w:rFonts w:ascii="Arial MT" w:eastAsia="Arial MT" w:hAnsi="Arial MT" w:cs="Arial MT"/>
      <w:lang w:eastAsia="en-US"/>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customStyle="1" w:styleId="Ttulo10">
    <w:name w:val="Título1"/>
    <w:basedOn w:val="Normal"/>
    <w:next w:val="Textoindependiente"/>
    <w:link w:val="TtuloCar"/>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iPriority w:val="1"/>
    <w:qFormat/>
    <w:rsid w:val="009451A0"/>
    <w:pPr>
      <w:widowControl w:val="0"/>
      <w:spacing w:after="0" w:line="240" w:lineRule="auto"/>
      <w:ind w:left="1584"/>
    </w:pPr>
    <w:rPr>
      <w:rFonts w:ascii="Arial MT" w:eastAsia="Arial MT" w:hAnsi="Arial MT" w:cs="Arial MT"/>
      <w:sz w:val="20"/>
      <w:szCs w:val="20"/>
      <w:lang w:eastAsia="en-US"/>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Normal2">
    <w:name w:val="Normal2"/>
    <w:basedOn w:val="Normal"/>
    <w:link w:val="Normal2Car"/>
    <w:qFormat/>
    <w:rsid w:val="00445609"/>
    <w:pPr>
      <w:spacing w:before="120" w:after="0" w:line="260" w:lineRule="exact"/>
      <w:ind w:firstLine="284"/>
      <w:jc w:val="both"/>
    </w:pPr>
    <w:rPr>
      <w:rFonts w:ascii="Arial" w:hAnsi="Arial"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1E2202"/>
    <w:pPr>
      <w:tabs>
        <w:tab w:val="center" w:pos="4252"/>
        <w:tab w:val="right" w:pos="8504"/>
      </w:tabs>
    </w:pPr>
  </w:style>
  <w:style w:type="paragraph" w:styleId="Piedepgina">
    <w:name w:val="footer"/>
    <w:basedOn w:val="Normal"/>
    <w:link w:val="PiedepginaCar"/>
    <w:uiPriority w:val="99"/>
    <w:unhideWhenUsed/>
    <w:rsid w:val="001E2202"/>
    <w:pPr>
      <w:tabs>
        <w:tab w:val="center" w:pos="4252"/>
        <w:tab w:val="right" w:pos="8504"/>
      </w:tabs>
    </w:pPr>
  </w:style>
  <w:style w:type="paragraph" w:styleId="Ttulo">
    <w:name w:val="Title"/>
    <w:basedOn w:val="Normal"/>
    <w:next w:val="Normal2"/>
    <w:uiPriority w:val="10"/>
    <w:qFormat/>
    <w:rsid w:val="00393921"/>
    <w:pPr>
      <w:spacing w:before="120" w:after="480" w:line="240" w:lineRule="auto"/>
      <w:jc w:val="center"/>
    </w:pPr>
    <w:rPr>
      <w:rFonts w:ascii="Source Sans Pro" w:hAnsi="Source Sans Pro" w:cs="Arial"/>
      <w:b/>
      <w:bCs/>
      <w:caps/>
      <w:sz w:val="36"/>
    </w:rPr>
  </w:style>
  <w:style w:type="paragraph" w:styleId="Sinespaciado">
    <w:name w:val="No Spacing"/>
    <w:uiPriority w:val="1"/>
    <w:qFormat/>
    <w:rsid w:val="006B559B"/>
    <w:rPr>
      <w:sz w:val="22"/>
      <w:szCs w:val="22"/>
    </w:rPr>
  </w:style>
  <w:style w:type="paragraph" w:styleId="Textonotapie">
    <w:name w:val="footnote text"/>
    <w:basedOn w:val="Normal"/>
    <w:link w:val="TextonotapieCar"/>
    <w:uiPriority w:val="99"/>
    <w:unhideWhenUsed/>
    <w:qFormat/>
    <w:rsid w:val="00C87619"/>
    <w:pPr>
      <w:spacing w:after="0" w:line="240" w:lineRule="auto"/>
      <w:jc w:val="both"/>
    </w:pPr>
    <w:rPr>
      <w:rFonts w:ascii="Arial Narrow" w:hAnsi="Arial Narrow"/>
      <w:sz w:val="18"/>
      <w:szCs w:val="20"/>
    </w:rPr>
  </w:style>
  <w:style w:type="paragraph" w:styleId="NormalWeb">
    <w:name w:val="Normal (Web)"/>
    <w:basedOn w:val="Normal"/>
    <w:uiPriority w:val="99"/>
    <w:unhideWhenUsed/>
    <w:qFormat/>
    <w:rsid w:val="00EB11B6"/>
    <w:pPr>
      <w:spacing w:beforeAutospacing="1" w:afterAutospacing="1" w:line="240" w:lineRule="auto"/>
    </w:pPr>
    <w:rPr>
      <w:sz w:val="24"/>
      <w:szCs w:val="24"/>
    </w:rPr>
  </w:style>
  <w:style w:type="paragraph" w:styleId="TtuloTDC">
    <w:name w:val="TOC Heading"/>
    <w:basedOn w:val="Ttulo1"/>
    <w:next w:val="Normal"/>
    <w:uiPriority w:val="39"/>
    <w:unhideWhenUsed/>
    <w:qFormat/>
    <w:rsid w:val="00AB1B73"/>
    <w:pPr>
      <w:keepLines/>
      <w:tabs>
        <w:tab w:val="clear" w:pos="0"/>
      </w:tabs>
      <w:spacing w:line="259" w:lineRule="auto"/>
      <w:ind w:left="0" w:firstLine="0"/>
    </w:pPr>
    <w:rPr>
      <w:rFonts w:ascii="Source Sans Pro" w:hAnsi="Source Sans Pro"/>
      <w:b/>
      <w:color w:val="auto"/>
      <w:sz w:val="32"/>
      <w:szCs w:val="32"/>
    </w:rPr>
  </w:style>
  <w:style w:type="paragraph" w:styleId="TDC1">
    <w:name w:val="toc 1"/>
    <w:basedOn w:val="Normal"/>
    <w:next w:val="Normal"/>
    <w:autoRedefine/>
    <w:uiPriority w:val="39"/>
    <w:unhideWhenUsed/>
    <w:rsid w:val="006939F9"/>
    <w:pPr>
      <w:tabs>
        <w:tab w:val="left" w:pos="440"/>
        <w:tab w:val="right" w:pos="8921"/>
      </w:tabs>
      <w:spacing w:before="120" w:after="0"/>
    </w:pPr>
    <w:rPr>
      <w:rFonts w:ascii="Source Sans Pro" w:hAnsi="Source Sans Pro"/>
      <w:bCs/>
      <w:caps/>
      <w:sz w:val="24"/>
      <w:szCs w:val="24"/>
    </w:rPr>
  </w:style>
  <w:style w:type="paragraph" w:styleId="Cita">
    <w:name w:val="Quote"/>
    <w:basedOn w:val="Normal2"/>
    <w:next w:val="Normal2"/>
    <w:link w:val="CitaCar"/>
    <w:uiPriority w:val="29"/>
    <w:qFormat/>
    <w:rsid w:val="00B359C6"/>
    <w:pPr>
      <w:ind w:left="567" w:right="284" w:firstLine="0"/>
    </w:pPr>
    <w:rPr>
      <w:i/>
    </w:rPr>
  </w:style>
  <w:style w:type="paragraph" w:customStyle="1" w:styleId="Figura">
    <w:name w:val="Figura"/>
    <w:basedOn w:val="Normal"/>
    <w:link w:val="FiguraCar"/>
    <w:qFormat/>
    <w:rsid w:val="00FA2549"/>
    <w:pPr>
      <w:spacing w:after="120" w:line="200" w:lineRule="atLeast"/>
      <w:jc w:val="center"/>
    </w:pPr>
    <w:rPr>
      <w:rFonts w:ascii="Source Sans Pro" w:hAnsi="Source Sans Pro"/>
    </w:rPr>
  </w:style>
  <w:style w:type="paragraph" w:customStyle="1" w:styleId="Pie">
    <w:name w:val="Pie"/>
    <w:basedOn w:val="Normal2"/>
    <w:link w:val="PieCar"/>
    <w:qFormat/>
    <w:rsid w:val="00B359C6"/>
    <w:pPr>
      <w:spacing w:before="0"/>
      <w:ind w:firstLine="0"/>
      <w:jc w:val="center"/>
    </w:pPr>
    <w:rPr>
      <w:sz w:val="20"/>
      <w:szCs w:val="20"/>
    </w:rPr>
  </w:style>
  <w:style w:type="paragraph" w:customStyle="1" w:styleId="Topo1">
    <w:name w:val="Topo1"/>
    <w:basedOn w:val="Normal2"/>
    <w:link w:val="Topo1Car"/>
    <w:qFormat/>
    <w:rsid w:val="00A9498D"/>
    <w:pPr>
      <w:tabs>
        <w:tab w:val="left" w:pos="0"/>
      </w:tabs>
      <w:spacing w:before="60"/>
      <w:ind w:left="1004" w:hanging="360"/>
    </w:pPr>
  </w:style>
  <w:style w:type="paragraph" w:styleId="HTMLconformatoprevio">
    <w:name w:val="HTML Preformatted"/>
    <w:basedOn w:val="Normal"/>
    <w:link w:val="HTMLconformatoprevioCar"/>
    <w:uiPriority w:val="99"/>
    <w:unhideWhenUsed/>
    <w:qFormat/>
    <w:rsid w:val="00E63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Ejemplo">
    <w:name w:val="Ejemplo"/>
    <w:basedOn w:val="Topo1"/>
    <w:link w:val="EjemploCar"/>
    <w:qFormat/>
    <w:rsid w:val="00832BB4"/>
    <w:pPr>
      <w:tabs>
        <w:tab w:val="clear" w:pos="0"/>
      </w:tabs>
      <w:ind w:left="646" w:firstLine="284"/>
      <w:jc w:val="left"/>
    </w:pPr>
  </w:style>
  <w:style w:type="paragraph" w:styleId="Prrafodelista">
    <w:name w:val="List Paragraph"/>
    <w:basedOn w:val="Normal"/>
    <w:link w:val="PrrafodelistaCar"/>
    <w:uiPriority w:val="34"/>
    <w:qFormat/>
    <w:rsid w:val="00282C97"/>
    <w:pPr>
      <w:ind w:left="720"/>
      <w:contextualSpacing/>
    </w:pPr>
    <w:rPr>
      <w:rFonts w:ascii="Calibri" w:eastAsia="Calibri" w:hAnsi="Calibri"/>
      <w:lang w:eastAsia="en-US"/>
    </w:rPr>
  </w:style>
  <w:style w:type="paragraph" w:customStyle="1" w:styleId="LISTAPANTALLA">
    <w:name w:val="LISTA_PANTALLA"/>
    <w:basedOn w:val="Normal"/>
    <w:next w:val="Normal2"/>
    <w:link w:val="LISTAPANTALLACar"/>
    <w:qFormat/>
    <w:rsid w:val="00C739E7"/>
    <w:pPr>
      <w:tabs>
        <w:tab w:val="left" w:pos="0"/>
      </w:tabs>
      <w:spacing w:before="120" w:after="120" w:line="360" w:lineRule="auto"/>
      <w:ind w:left="357" w:hanging="357"/>
      <w:jc w:val="both"/>
    </w:pPr>
    <w:rPr>
      <w:rFonts w:ascii="Arial" w:hAnsi="Arial" w:cs="Arial"/>
      <w:b/>
      <w:color w:val="981418"/>
      <w:sz w:val="24"/>
      <w:szCs w:val="24"/>
    </w:rPr>
  </w:style>
  <w:style w:type="paragraph" w:customStyle="1" w:styleId="cgHTMLHeadInclude">
    <w:name w:val="cgHTMLHeadInclude"/>
    <w:basedOn w:val="Normal"/>
    <w:qFormat/>
    <w:rsid w:val="00EB2FB8"/>
    <w:pPr>
      <w:widowControl w:val="0"/>
      <w:pBdr>
        <w:top w:val="dashed" w:sz="4" w:space="1" w:color="000000"/>
        <w:left w:val="dashed" w:sz="4" w:space="4" w:color="000000"/>
        <w:bottom w:val="dashed" w:sz="4" w:space="1" w:color="000000"/>
        <w:right w:val="dashed" w:sz="4" w:space="4" w:color="000000"/>
      </w:pBdr>
      <w:shd w:val="clear" w:color="auto" w:fill="BDC7D0"/>
      <w:tabs>
        <w:tab w:val="left" w:pos="1134"/>
        <w:tab w:val="left" w:pos="2268"/>
        <w:tab w:val="left" w:pos="3402"/>
      </w:tabs>
      <w:spacing w:after="0" w:line="240" w:lineRule="auto"/>
      <w:outlineLvl w:val="0"/>
    </w:pPr>
    <w:rPr>
      <w:rFonts w:ascii="Arial" w:hAnsi="Arial" w:cs="Arial"/>
      <w:color w:val="000000"/>
      <w:sz w:val="24"/>
      <w:szCs w:val="24"/>
      <w:lang w:val="en-GB" w:eastAsia="en-US"/>
    </w:rPr>
  </w:style>
  <w:style w:type="paragraph" w:customStyle="1" w:styleId="Tabla1">
    <w:name w:val="Tabla1"/>
    <w:basedOn w:val="Normal2"/>
    <w:link w:val="Tabla1Car"/>
    <w:qFormat/>
    <w:rsid w:val="00BB5AF4"/>
    <w:pPr>
      <w:spacing w:before="0"/>
      <w:ind w:firstLine="0"/>
      <w:jc w:val="center"/>
    </w:pPr>
    <w:rPr>
      <w:rFonts w:eastAsiaTheme="majorEastAsia"/>
      <w:sz w:val="20"/>
    </w:rPr>
  </w:style>
  <w:style w:type="paragraph" w:styleId="TDC2">
    <w:name w:val="toc 2"/>
    <w:basedOn w:val="Normal"/>
    <w:next w:val="Normal"/>
    <w:autoRedefine/>
    <w:uiPriority w:val="39"/>
    <w:unhideWhenUsed/>
    <w:rsid w:val="006F3B97"/>
    <w:pPr>
      <w:tabs>
        <w:tab w:val="right" w:pos="8921"/>
      </w:tabs>
      <w:spacing w:after="0"/>
    </w:pPr>
    <w:rPr>
      <w:rFonts w:asciiTheme="minorHAnsi" w:hAnsiTheme="minorHAnsi"/>
      <w:bCs/>
      <w:sz w:val="20"/>
      <w:szCs w:val="20"/>
    </w:rPr>
  </w:style>
  <w:style w:type="paragraph" w:styleId="TDC3">
    <w:name w:val="toc 3"/>
    <w:basedOn w:val="Normal"/>
    <w:next w:val="Normal"/>
    <w:autoRedefine/>
    <w:uiPriority w:val="39"/>
    <w:unhideWhenUsed/>
    <w:rsid w:val="00AB1B73"/>
    <w:pPr>
      <w:spacing w:after="0"/>
      <w:ind w:left="220"/>
    </w:pPr>
    <w:rPr>
      <w:rFonts w:asciiTheme="minorHAnsi" w:hAnsiTheme="minorHAnsi"/>
      <w:sz w:val="20"/>
      <w:szCs w:val="20"/>
    </w:rPr>
  </w:style>
  <w:style w:type="paragraph" w:styleId="TDC4">
    <w:name w:val="toc 4"/>
    <w:basedOn w:val="Normal"/>
    <w:next w:val="Normal"/>
    <w:autoRedefine/>
    <w:uiPriority w:val="39"/>
    <w:unhideWhenUsed/>
    <w:rsid w:val="00AB1B73"/>
    <w:pPr>
      <w:spacing w:after="0"/>
      <w:ind w:left="440"/>
    </w:pPr>
    <w:rPr>
      <w:rFonts w:asciiTheme="minorHAnsi" w:hAnsiTheme="minorHAnsi"/>
      <w:sz w:val="20"/>
      <w:szCs w:val="20"/>
    </w:rPr>
  </w:style>
  <w:style w:type="paragraph" w:styleId="TDC5">
    <w:name w:val="toc 5"/>
    <w:basedOn w:val="Normal"/>
    <w:next w:val="Normal"/>
    <w:autoRedefine/>
    <w:uiPriority w:val="39"/>
    <w:unhideWhenUsed/>
    <w:rsid w:val="00AB1B73"/>
    <w:pPr>
      <w:spacing w:after="0"/>
      <w:ind w:left="660"/>
    </w:pPr>
    <w:rPr>
      <w:rFonts w:asciiTheme="minorHAnsi" w:hAnsiTheme="minorHAnsi"/>
      <w:sz w:val="20"/>
      <w:szCs w:val="20"/>
    </w:rPr>
  </w:style>
  <w:style w:type="paragraph" w:styleId="TDC6">
    <w:name w:val="toc 6"/>
    <w:basedOn w:val="Normal"/>
    <w:next w:val="Normal"/>
    <w:autoRedefine/>
    <w:uiPriority w:val="39"/>
    <w:unhideWhenUsed/>
    <w:rsid w:val="00AB1B73"/>
    <w:pPr>
      <w:spacing w:after="0"/>
      <w:ind w:left="880"/>
    </w:pPr>
    <w:rPr>
      <w:rFonts w:asciiTheme="minorHAnsi" w:hAnsiTheme="minorHAnsi"/>
      <w:sz w:val="20"/>
      <w:szCs w:val="20"/>
    </w:rPr>
  </w:style>
  <w:style w:type="paragraph" w:styleId="TDC7">
    <w:name w:val="toc 7"/>
    <w:basedOn w:val="Normal"/>
    <w:next w:val="Normal"/>
    <w:autoRedefine/>
    <w:uiPriority w:val="39"/>
    <w:unhideWhenUsed/>
    <w:rsid w:val="00AB1B73"/>
    <w:pPr>
      <w:spacing w:after="0"/>
      <w:ind w:left="1100"/>
    </w:pPr>
    <w:rPr>
      <w:rFonts w:asciiTheme="minorHAnsi" w:hAnsiTheme="minorHAnsi"/>
      <w:sz w:val="20"/>
      <w:szCs w:val="20"/>
    </w:rPr>
  </w:style>
  <w:style w:type="paragraph" w:styleId="TDC8">
    <w:name w:val="toc 8"/>
    <w:basedOn w:val="Normal"/>
    <w:next w:val="Normal"/>
    <w:autoRedefine/>
    <w:uiPriority w:val="39"/>
    <w:unhideWhenUsed/>
    <w:rsid w:val="00AB1B73"/>
    <w:pPr>
      <w:spacing w:after="0"/>
      <w:ind w:left="1320"/>
    </w:pPr>
    <w:rPr>
      <w:rFonts w:asciiTheme="minorHAnsi" w:hAnsiTheme="minorHAnsi"/>
      <w:sz w:val="20"/>
      <w:szCs w:val="20"/>
    </w:rPr>
  </w:style>
  <w:style w:type="paragraph" w:styleId="TDC9">
    <w:name w:val="toc 9"/>
    <w:basedOn w:val="Normal"/>
    <w:next w:val="Normal"/>
    <w:autoRedefine/>
    <w:uiPriority w:val="39"/>
    <w:unhideWhenUsed/>
    <w:rsid w:val="00AB1B73"/>
    <w:pPr>
      <w:spacing w:after="0"/>
      <w:ind w:left="1540"/>
    </w:pPr>
    <w:rPr>
      <w:rFonts w:asciiTheme="minorHAnsi" w:hAnsiTheme="minorHAnsi"/>
      <w:sz w:val="20"/>
      <w:szCs w:val="20"/>
    </w:rPr>
  </w:style>
  <w:style w:type="paragraph" w:styleId="Textodeglobo">
    <w:name w:val="Balloon Text"/>
    <w:basedOn w:val="Normal"/>
    <w:link w:val="TextodegloboCar"/>
    <w:uiPriority w:val="99"/>
    <w:semiHidden/>
    <w:unhideWhenUsed/>
    <w:qFormat/>
    <w:rsid w:val="00DA7386"/>
    <w:pPr>
      <w:spacing w:after="0" w:line="240" w:lineRule="auto"/>
    </w:pPr>
    <w:rPr>
      <w:rFonts w:ascii="Segoe UI" w:hAnsi="Segoe UI" w:cs="Segoe UI"/>
      <w:sz w:val="18"/>
      <w:szCs w:val="18"/>
    </w:rPr>
  </w:style>
  <w:style w:type="paragraph" w:customStyle="1" w:styleId="Default">
    <w:name w:val="Default"/>
    <w:qFormat/>
    <w:rsid w:val="00B62718"/>
    <w:rPr>
      <w:rFonts w:ascii="Calibri" w:hAnsi="Calibri" w:cs="Calibri"/>
      <w:color w:val="000000"/>
      <w:sz w:val="24"/>
      <w:szCs w:val="24"/>
    </w:rPr>
  </w:style>
  <w:style w:type="paragraph" w:styleId="Textocomentario">
    <w:name w:val="annotation text"/>
    <w:basedOn w:val="Normal"/>
    <w:link w:val="TextocomentarioCar"/>
    <w:uiPriority w:val="99"/>
    <w:unhideWhenUsed/>
    <w:qFormat/>
    <w:rsid w:val="00B62718"/>
    <w:pPr>
      <w:spacing w:after="160" w:line="240" w:lineRule="auto"/>
    </w:pPr>
    <w:rPr>
      <w:rFonts w:ascii="Calibri" w:eastAsia="Calibri" w:hAnsi="Calibri" w:cs="Calibri"/>
      <w:color w:val="000000"/>
      <w:sz w:val="20"/>
      <w:szCs w:val="20"/>
    </w:rPr>
  </w:style>
  <w:style w:type="paragraph" w:customStyle="1" w:styleId="Borrador">
    <w:name w:val="Borrador"/>
    <w:basedOn w:val="Normal2"/>
    <w:link w:val="BorradorCar"/>
    <w:qFormat/>
    <w:rsid w:val="00670E06"/>
    <w:pPr>
      <w:tabs>
        <w:tab w:val="left" w:pos="0"/>
      </w:tabs>
      <w:spacing w:before="0" w:line="240" w:lineRule="atLeast"/>
      <w:ind w:left="1996" w:hanging="357"/>
    </w:pPr>
    <w:rPr>
      <w:sz w:val="18"/>
      <w:szCs w:val="20"/>
    </w:rPr>
  </w:style>
  <w:style w:type="paragraph" w:customStyle="1" w:styleId="toclevel-1">
    <w:name w:val="toclevel-1"/>
    <w:basedOn w:val="Normal"/>
    <w:qFormat/>
    <w:rsid w:val="00B62718"/>
    <w:pPr>
      <w:spacing w:beforeAutospacing="1" w:afterAutospacing="1" w:line="240" w:lineRule="auto"/>
    </w:pPr>
    <w:rPr>
      <w:sz w:val="24"/>
      <w:szCs w:val="24"/>
    </w:rPr>
  </w:style>
  <w:style w:type="paragraph" w:customStyle="1" w:styleId="toclevel-2">
    <w:name w:val="toclevel-2"/>
    <w:basedOn w:val="Normal"/>
    <w:qFormat/>
    <w:rsid w:val="00B62718"/>
    <w:pPr>
      <w:spacing w:beforeAutospacing="1" w:afterAutospacing="1" w:line="240" w:lineRule="auto"/>
    </w:pPr>
    <w:rPr>
      <w:sz w:val="24"/>
      <w:szCs w:val="24"/>
    </w:rPr>
  </w:style>
  <w:style w:type="paragraph" w:customStyle="1" w:styleId="go">
    <w:name w:val="go"/>
    <w:basedOn w:val="Normal"/>
    <w:qFormat/>
    <w:rsid w:val="00B62718"/>
    <w:pPr>
      <w:spacing w:beforeAutospacing="1" w:afterAutospacing="1" w:line="240" w:lineRule="auto"/>
    </w:pPr>
    <w:rPr>
      <w:sz w:val="24"/>
      <w:szCs w:val="24"/>
    </w:rPr>
  </w:style>
  <w:style w:type="paragraph" w:customStyle="1" w:styleId="footnotedescription">
    <w:name w:val="footnote description"/>
    <w:next w:val="Normal"/>
    <w:qFormat/>
    <w:rsid w:val="00B62718"/>
    <w:pPr>
      <w:spacing w:after="1" w:line="259" w:lineRule="auto"/>
    </w:pPr>
    <w:rPr>
      <w:rFonts w:ascii="Calibri" w:eastAsia="Calibri" w:hAnsi="Calibri" w:cs="Calibri"/>
      <w:color w:val="000000"/>
      <w:sz w:val="12"/>
      <w:szCs w:val="22"/>
    </w:rPr>
  </w:style>
  <w:style w:type="paragraph" w:customStyle="1" w:styleId="ti-coll">
    <w:name w:val="ti-coll"/>
    <w:basedOn w:val="Normal"/>
    <w:qFormat/>
    <w:rsid w:val="00B62718"/>
    <w:pPr>
      <w:spacing w:beforeAutospacing="1" w:afterAutospacing="1" w:line="240" w:lineRule="auto"/>
    </w:pPr>
    <w:rPr>
      <w:sz w:val="24"/>
      <w:szCs w:val="24"/>
    </w:rPr>
  </w:style>
  <w:style w:type="paragraph" w:customStyle="1" w:styleId="Articulado">
    <w:name w:val="Articulado"/>
    <w:basedOn w:val="Normal"/>
    <w:link w:val="ArticuladoCar"/>
    <w:qFormat/>
    <w:rsid w:val="00DF4322"/>
    <w:pPr>
      <w:spacing w:before="120" w:after="0" w:line="220" w:lineRule="atLeast"/>
      <w:ind w:left="1134" w:right="567"/>
      <w:jc w:val="both"/>
    </w:pPr>
    <w:rPr>
      <w:rFonts w:ascii="Arial Narrow" w:hAnsi="Arial Narrow"/>
      <w:bCs/>
      <w:i/>
      <w:smallCaps/>
      <w:sz w:val="18"/>
    </w:rPr>
  </w:style>
  <w:style w:type="paragraph" w:styleId="Asuntodelcomentario">
    <w:name w:val="annotation subject"/>
    <w:basedOn w:val="Textocomentario"/>
    <w:next w:val="Textocomentario"/>
    <w:link w:val="AsuntodelcomentarioCar"/>
    <w:uiPriority w:val="99"/>
    <w:qFormat/>
    <w:rsid w:val="00327AE6"/>
    <w:pPr>
      <w:spacing w:after="200"/>
    </w:pPr>
    <w:rPr>
      <w:rFonts w:ascii="Times New Roman" w:eastAsia="Times New Roman" w:hAnsi="Times New Roman" w:cs="Times New Roman"/>
      <w:b/>
      <w:bCs/>
      <w:color w:val="auto"/>
    </w:rPr>
  </w:style>
  <w:style w:type="paragraph" w:styleId="Revisin">
    <w:name w:val="Revision"/>
    <w:uiPriority w:val="99"/>
    <w:semiHidden/>
    <w:qFormat/>
    <w:rsid w:val="001E0DC8"/>
    <w:rPr>
      <w:sz w:val="22"/>
      <w:szCs w:val="22"/>
    </w:rPr>
  </w:style>
  <w:style w:type="paragraph" w:customStyle="1" w:styleId="parrafo">
    <w:name w:val="parrafo"/>
    <w:basedOn w:val="Normal"/>
    <w:qFormat/>
    <w:rsid w:val="0026152A"/>
    <w:pPr>
      <w:spacing w:beforeAutospacing="1" w:afterAutospacing="1" w:line="240" w:lineRule="auto"/>
    </w:pPr>
    <w:rPr>
      <w:sz w:val="24"/>
      <w:szCs w:val="24"/>
    </w:rPr>
  </w:style>
  <w:style w:type="paragraph" w:customStyle="1" w:styleId="parrafo2">
    <w:name w:val="parrafo_2"/>
    <w:basedOn w:val="Normal"/>
    <w:qFormat/>
    <w:rsid w:val="0026152A"/>
    <w:pPr>
      <w:spacing w:beforeAutospacing="1" w:afterAutospacing="1" w:line="240" w:lineRule="auto"/>
    </w:pPr>
    <w:rPr>
      <w:sz w:val="24"/>
      <w:szCs w:val="24"/>
    </w:rPr>
  </w:style>
  <w:style w:type="paragraph" w:styleId="Listaconvietas">
    <w:name w:val="List Bullet"/>
    <w:basedOn w:val="Normal"/>
    <w:uiPriority w:val="99"/>
    <w:unhideWhenUsed/>
    <w:qFormat/>
    <w:rsid w:val="007862A6"/>
    <w:pPr>
      <w:tabs>
        <w:tab w:val="left" w:pos="360"/>
      </w:tabs>
      <w:ind w:left="360" w:hanging="360"/>
      <w:contextualSpacing/>
    </w:pPr>
  </w:style>
  <w:style w:type="paragraph" w:customStyle="1" w:styleId="ApartadoNivel1TBK">
    <w:name w:val="Apartado Nivel 1_TBK"/>
    <w:basedOn w:val="Normal"/>
    <w:qFormat/>
    <w:rsid w:val="00DA12AB"/>
    <w:pPr>
      <w:keepNext/>
      <w:spacing w:before="120" w:after="180" w:line="240" w:lineRule="auto"/>
      <w:ind w:left="-709" w:hanging="6"/>
      <w:jc w:val="both"/>
      <w:outlineLvl w:val="0"/>
    </w:pPr>
    <w:rPr>
      <w:rFonts w:ascii="Calibri" w:eastAsiaTheme="majorEastAsia" w:hAnsi="Calibri"/>
      <w:b/>
      <w:color w:val="000000" w:themeColor="text1" w:themeShade="80"/>
      <w:kern w:val="2"/>
      <w:sz w:val="40"/>
      <w:szCs w:val="60"/>
    </w:rPr>
  </w:style>
  <w:style w:type="paragraph" w:customStyle="1" w:styleId="TEXTO">
    <w:name w:val="TEXTO"/>
    <w:basedOn w:val="Normal"/>
    <w:link w:val="TEXTOChar"/>
    <w:qFormat/>
    <w:rsid w:val="00DA12AB"/>
    <w:pPr>
      <w:spacing w:before="120" w:after="120" w:line="288" w:lineRule="auto"/>
      <w:ind w:left="284"/>
      <w:jc w:val="both"/>
    </w:pPr>
    <w:rPr>
      <w:rFonts w:ascii="Arial" w:hAnsi="Arial"/>
      <w:sz w:val="20"/>
      <w:szCs w:val="20"/>
    </w:rPr>
  </w:style>
  <w:style w:type="paragraph" w:customStyle="1" w:styleId="BankiaNormal">
    <w:name w:val="Bankia Normal"/>
    <w:basedOn w:val="Normal"/>
    <w:link w:val="BankiaNormalCar"/>
    <w:qFormat/>
    <w:rsid w:val="00DA12AB"/>
    <w:pPr>
      <w:spacing w:before="120" w:after="120" w:line="360" w:lineRule="auto"/>
      <w:ind w:firstLine="340"/>
      <w:jc w:val="both"/>
    </w:pPr>
    <w:rPr>
      <w:rFonts w:ascii="Bankia" w:hAnsi="Bankia" w:cs="Arial"/>
      <w:sz w:val="20"/>
      <w:szCs w:val="20"/>
      <w:lang w:val="es-ES_tradnl" w:eastAsia="ja-JP"/>
    </w:rPr>
  </w:style>
  <w:style w:type="paragraph" w:customStyle="1" w:styleId="PabloNormal">
    <w:name w:val="Pablo Normal"/>
    <w:autoRedefine/>
    <w:qFormat/>
    <w:rsid w:val="00DA12AB"/>
    <w:pPr>
      <w:spacing w:line="264" w:lineRule="auto"/>
    </w:pPr>
    <w:rPr>
      <w:rFonts w:ascii="Bankia" w:eastAsiaTheme="minorHAnsi" w:hAnsi="Bankia" w:cs="Arial"/>
      <w:b/>
      <w:szCs w:val="22"/>
      <w:lang w:val="es-ES_tradnl" w:eastAsia="ja-JP"/>
    </w:rPr>
  </w:style>
  <w:style w:type="paragraph" w:customStyle="1" w:styleId="NormalArial11">
    <w:name w:val="Normal Arial 11"/>
    <w:basedOn w:val="Normal"/>
    <w:link w:val="NormalArial11Car"/>
    <w:qFormat/>
    <w:rsid w:val="00DA12AB"/>
    <w:pPr>
      <w:spacing w:before="120" w:after="120" w:line="240" w:lineRule="auto"/>
      <w:jc w:val="both"/>
    </w:pPr>
    <w:rPr>
      <w:rFonts w:ascii="Calibri" w:hAnsi="Calibri" w:cs="Arial"/>
      <w:szCs w:val="20"/>
      <w:lang w:val="es-ES_tradnl"/>
    </w:rPr>
  </w:style>
  <w:style w:type="paragraph" w:customStyle="1" w:styleId="FootnotesymbolCarZchn">
    <w:name w:val="Footnote symbol Car Zchn"/>
    <w:basedOn w:val="Normal"/>
    <w:link w:val="FootnoteCharacters"/>
    <w:uiPriority w:val="99"/>
    <w:qFormat/>
    <w:rsid w:val="00C10EC9"/>
    <w:pPr>
      <w:spacing w:after="160" w:line="240" w:lineRule="exact"/>
      <w:jc w:val="both"/>
    </w:pPr>
    <w:rPr>
      <w:sz w:val="20"/>
      <w:szCs w:val="20"/>
      <w:vertAlign w:val="superscript"/>
    </w:rPr>
  </w:style>
  <w:style w:type="paragraph" w:customStyle="1" w:styleId="Topo2">
    <w:name w:val="Topo2"/>
    <w:basedOn w:val="Topo1"/>
    <w:link w:val="Topo2Car"/>
    <w:qFormat/>
    <w:rsid w:val="001E40DD"/>
    <w:pPr>
      <w:tabs>
        <w:tab w:val="clear" w:pos="0"/>
      </w:tabs>
      <w:ind w:left="1276"/>
    </w:pPr>
  </w:style>
  <w:style w:type="table" w:styleId="Tablaconcuadrcula">
    <w:name w:val="Table Grid"/>
    <w:basedOn w:val="Tablanormal"/>
    <w:uiPriority w:val="59"/>
    <w:unhideWhenUsed/>
    <w:rsid w:val="00015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6271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 Grid1"/>
    <w:basedOn w:val="Tablanormal"/>
    <w:uiPriority w:val="39"/>
    <w:rsid w:val="00DA12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aepd.es/media/guias/guia-proteccion-datos-por-defecto.pdf" TargetMode="External"/><Relationship Id="rId26" Type="http://schemas.openxmlformats.org/officeDocument/2006/relationships/hyperlink" Target="https://www.aepd.es/en/guides-and-tools/tools" TargetMode="External"/><Relationship Id="rId39" Type="http://schemas.openxmlformats.org/officeDocument/2006/relationships/header" Target="header2.xml"/><Relationship Id="rId21" Type="http://schemas.openxmlformats.org/officeDocument/2006/relationships/hyperlink" Target="http://www.aepd.es/" TargetMode="External"/><Relationship Id="rId34" Type="http://schemas.openxmlformats.org/officeDocument/2006/relationships/hyperlink" Target="https://edps.europa.eu/sites/edp/files/publication/19-12-19_edps_proportionality_guidelines2_en.pdf"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epd.es/media/guias/guia-proteccion-datos-por-defecto.pdf" TargetMode="External"/><Relationship Id="rId20" Type="http://schemas.openxmlformats.org/officeDocument/2006/relationships/hyperlink" Target="https://www.aepd.es/es/documento/risk-management-and-impact-assessment-in-processing-personal-data.pdf" TargetMode="External"/><Relationship Id="rId29" Type="http://schemas.openxmlformats.org/officeDocument/2006/relationships/hyperlink" Target="https://www.aepd.es/sites/default/files/2019-09/listas-dpia-es-35-4.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epd.es/es/documento/gestion-riesgo-y-evaluacion-impacto-en-tratamientos-datos-personales.pdf" TargetMode="External"/><Relationship Id="rId24" Type="http://schemas.openxmlformats.org/officeDocument/2006/relationships/hyperlink" Target="https://www.aepd.es/en/guias-y-herramientas/guias" TargetMode="External"/><Relationship Id="rId32" Type="http://schemas.openxmlformats.org/officeDocument/2006/relationships/hyperlink" Target="https://www.aepd.es/sites/default/files/2020-03/modelo-informe-EIPD-AAPP.rtf" TargetMode="External"/><Relationship Id="rId37" Type="http://schemas.openxmlformats.org/officeDocument/2006/relationships/hyperlink" Target="https://www.aepd.es/en/guides-and-tools/tools/facilita-rgpd"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aepd.es/es/documento/risk-management-and-impact-assessment-in-processing-personal-data.pdf" TargetMode="External"/><Relationship Id="rId23" Type="http://schemas.openxmlformats.org/officeDocument/2006/relationships/hyperlink" Target="https://www.aepd.es/en/areas/innovation-and-technology" TargetMode="External"/><Relationship Id="rId28" Type="http://schemas.openxmlformats.org/officeDocument/2006/relationships/hyperlink" Target="https://www.aepd.es/es/documento/relacion-tablas-guia-riesgo-eipd-tablas.odt" TargetMode="External"/><Relationship Id="rId36" Type="http://schemas.openxmlformats.org/officeDocument/2006/relationships/hyperlink" Target="https://www.aepd.es/en/guias-y-herramientas/herramientas/evalua-riesgo-rgpd" TargetMode="External"/><Relationship Id="rId10" Type="http://schemas.openxmlformats.org/officeDocument/2006/relationships/endnotes" Target="endnotes.xml"/><Relationship Id="rId19" Type="http://schemas.openxmlformats.org/officeDocument/2006/relationships/hyperlink" Target="https://www.aepd.es/es/documento/risk-management-and-impact-assessment-in-processing-personal-data.pdf" TargetMode="External"/><Relationship Id="rId31" Type="http://schemas.openxmlformats.org/officeDocument/2006/relationships/hyperlink" Target="https://www.boe.es/boe/dias/2021/11/05/pdfs/BOE-A-2021-1813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epd.es/es/documento/risk-management-and-impact-assessment-in-processing-personal-data.pdf" TargetMode="External"/><Relationship Id="rId22" Type="http://schemas.openxmlformats.org/officeDocument/2006/relationships/hyperlink" Target="https://www.aepd.es/es/derechos-y-deberes/cumple-tus-deberes" TargetMode="External"/><Relationship Id="rId27" Type="http://schemas.openxmlformats.org/officeDocument/2006/relationships/hyperlink" Target="https://www.aepd.es/es/documento/risk-management-and-impact-assessment-in-processing-personal-data.pdf" TargetMode="External"/><Relationship Id="rId30" Type="http://schemas.openxmlformats.org/officeDocument/2006/relationships/hyperlink" Target="https://www.aepd.es/sites/default/files/2019-09/ListasDPIA-35.5l.pdf" TargetMode="External"/><Relationship Id="rId35" Type="http://schemas.openxmlformats.org/officeDocument/2006/relationships/hyperlink" Target="https://edps.europa.eu/sites/edp/files/publication/17-04-11_necessity_toolkit_en_0.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aepd.es/es/documento/risk-management-and-impact-assessment-in-processing-personal-data.pdf" TargetMode="External"/><Relationship Id="rId25" Type="http://schemas.openxmlformats.org/officeDocument/2006/relationships/hyperlink" Target="https://www.aepd.es/en/guides-and-tools/tools" TargetMode="External"/><Relationship Id="rId33" Type="http://schemas.openxmlformats.org/officeDocument/2006/relationships/hyperlink" Target="https://www.aepd.es/sites/default/files/2020-03/modelo-informe-EIPD-sector-privado.rtf" TargetMode="External"/><Relationship Id="rId38" Type="http://schemas.openxmlformats.org/officeDocument/2006/relationships/hyperlink" Target="https://www.aepd.es/en/guias-y-herramientas/tools/facilita-empr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1972FA3C76948A64BB9694EBD9137" ma:contentTypeVersion="5" ma:contentTypeDescription="Create a new document." ma:contentTypeScope="" ma:versionID="a7925de86f5a74e8bb299bb614d10da2">
  <xsd:schema xmlns:xsd="http://www.w3.org/2001/XMLSchema" xmlns:xs="http://www.w3.org/2001/XMLSchema" xmlns:p="http://schemas.microsoft.com/office/2006/metadata/properties" xmlns:ns3="e5c72ec4-f674-400d-ab06-6262fb461b6b" xmlns:ns4="1e905ec5-4ef8-4440-8014-e07468ab2960" targetNamespace="http://schemas.microsoft.com/office/2006/metadata/properties" ma:root="true" ma:fieldsID="0c6360d532007da0007f62394cea213d" ns3:_="" ns4:_="">
    <xsd:import namespace="e5c72ec4-f674-400d-ab06-6262fb461b6b"/>
    <xsd:import namespace="1e905ec5-4ef8-4440-8014-e07468ab29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72ec4-f674-400d-ab06-6262fb461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905ec5-4ef8-4440-8014-e07468ab29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675699-53C1-48B6-8704-9EC4D01F2BEB}">
  <ds:schemaRefs>
    <ds:schemaRef ds:uri="http://schemas.openxmlformats.org/officeDocument/2006/bibliography"/>
  </ds:schemaRefs>
</ds:datastoreItem>
</file>

<file path=customXml/itemProps2.xml><?xml version="1.0" encoding="utf-8"?>
<ds:datastoreItem xmlns:ds="http://schemas.openxmlformats.org/officeDocument/2006/customXml" ds:itemID="{301C876A-7B15-4750-BBFF-BCCD82985235}">
  <ds:schemaRefs>
    <ds:schemaRef ds:uri="http://schemas.microsoft.com/sharepoint/v3/contenttype/forms"/>
  </ds:schemaRefs>
</ds:datastoreItem>
</file>

<file path=customXml/itemProps3.xml><?xml version="1.0" encoding="utf-8"?>
<ds:datastoreItem xmlns:ds="http://schemas.openxmlformats.org/officeDocument/2006/customXml" ds:itemID="{ECC73FA1-D869-42AD-9F4D-BE83B91600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D71F90-CE3A-4533-9FBE-943EA9471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72ec4-f674-400d-ab06-6262fb461b6b"/>
    <ds:schemaRef ds:uri="1e905ec5-4ef8-4440-8014-e07468ab2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26</Pages>
  <Words>9736</Words>
  <Characters>53553</Characters>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Printed>2021-03-01T14:45:00Z</cp:lastPrinted>
  <dcterms:created xsi:type="dcterms:W3CDTF">2022-02-08T11:45:00Z</dcterms:created>
  <dcterms:modified xsi:type="dcterms:W3CDTF">2022-02-16T09:38:00Z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0x01010004B1972FA3C76948A64BB9694EBD9137</vt:lpwstr>
  </property>
</Properties>
</file>